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7219FD">
      <w:pPr>
        <w:rPr>
          <w:vertAlign w:val="subscript"/>
        </w:rPr>
      </w:pPr>
    </w:p>
    <w:p w14:paraId="24EAF9ED">
      <w:pPr>
        <w:spacing w:after="0"/>
        <w:jc w:val="center"/>
        <w:rPr>
          <w:rFonts w:ascii="Times New Roman" w:hAnsi="Times New Roman" w:eastAsia="Times New Roman" w:cs="Times New Roman"/>
          <w:b/>
          <w:bCs/>
          <w:color w:val="000000" w:themeColor="text1"/>
          <w:sz w:val="28"/>
          <w:szCs w:val="28"/>
          <w:lang w:val="en-GB"/>
          <w14:textFill>
            <w14:solidFill>
              <w14:schemeClr w14:val="tx1"/>
            </w14:solidFill>
          </w14:textFill>
        </w:rPr>
      </w:pPr>
      <w:r>
        <w:rPr>
          <w:rFonts w:ascii="Times New Roman" w:hAnsi="Times New Roman" w:eastAsia="Times New Roman" w:cs="Times New Roman"/>
          <w:b/>
          <w:bCs/>
          <w:color w:val="000000" w:themeColor="text1"/>
          <w:sz w:val="28"/>
          <w:szCs w:val="28"/>
          <w:lang w:val="en-GB"/>
          <w14:textFill>
            <w14:solidFill>
              <w14:schemeClr w14:val="tx1"/>
            </w14:solidFill>
          </w14:textFill>
        </w:rPr>
        <w:t>Sulphur Sale and Purchase Agreement</w:t>
      </w:r>
    </w:p>
    <w:p w14:paraId="6393B814">
      <w:pPr>
        <w:spacing w:after="0"/>
        <w:jc w:val="center"/>
        <w:rPr>
          <w:rFonts w:hint="eastAsia" w:ascii="Times New Roman" w:hAnsi="Times New Roman" w:eastAsia="宋体" w:cs="Times New Roman"/>
          <w:b/>
          <w:bCs/>
          <w:color w:val="000000" w:themeColor="text1"/>
          <w:sz w:val="32"/>
          <w:szCs w:val="32"/>
          <w:lang w:val="en-GB" w:eastAsia="zh-CN"/>
          <w14:textFill>
            <w14:solidFill>
              <w14:schemeClr w14:val="tx1"/>
            </w14:solidFill>
          </w14:textFill>
        </w:rPr>
      </w:pPr>
      <w:r>
        <w:rPr>
          <w:rFonts w:hint="eastAsia" w:ascii="Times New Roman" w:hAnsi="Times New Roman" w:eastAsia="微软雅黑" w:cs="Times New Roman"/>
          <w:b/>
          <w:bCs/>
          <w:color w:val="000000" w:themeColor="text1"/>
          <w:sz w:val="28"/>
          <w:szCs w:val="28"/>
          <w:lang w:val="en-GB" w:eastAsia="zh-CN" w:bidi="ar-SA"/>
          <w14:textFill>
            <w14:solidFill>
              <w14:schemeClr w14:val="tx1"/>
            </w14:solidFill>
          </w14:textFill>
        </w:rPr>
        <w:t>硫磺买卖协议</w:t>
      </w:r>
    </w:p>
    <w:p w14:paraId="58303056">
      <w:pPr>
        <w:spacing w:after="0"/>
        <w:jc w:val="center"/>
        <w:rPr>
          <w:rFonts w:ascii="Times New Roman" w:hAnsi="Times New Roman" w:eastAsia="Times New Roman" w:cs="Times New Roman"/>
          <w:color w:val="000000" w:themeColor="text1"/>
          <w14:textFill>
            <w14:solidFill>
              <w14:schemeClr w14:val="tx1"/>
            </w14:solidFill>
          </w14:textFill>
        </w:rPr>
      </w:pPr>
    </w:p>
    <w:p w14:paraId="765FF02A">
      <w:pPr>
        <w:spacing w:after="0"/>
        <w:jc w:val="both"/>
        <w:rPr>
          <w:rFonts w:ascii="Times New Roman" w:hAnsi="Times New Roman" w:eastAsia="Times New Roman" w:cs="Times New Roman"/>
          <w:color w:val="000000" w:themeColor="text1"/>
          <w:sz w:val="22"/>
          <w:szCs w:val="22"/>
          <w:lang w:val="en-GB"/>
          <w14:textFill>
            <w14:solidFill>
              <w14:schemeClr w14:val="tx1"/>
            </w14:solidFill>
          </w14:textFill>
        </w:rPr>
      </w:pPr>
      <w:r>
        <w:rPr>
          <w:rFonts w:ascii="Times New Roman" w:hAnsi="Times New Roman" w:eastAsia="Times New Roman" w:cs="Times New Roman"/>
          <w:b/>
          <w:bCs/>
          <w:color w:val="000000" w:themeColor="text1"/>
          <w:sz w:val="22"/>
          <w:szCs w:val="22"/>
          <w:lang w:val="en-GB"/>
          <w14:textFill>
            <w14:solidFill>
              <w14:schemeClr w14:val="tx1"/>
            </w14:solidFill>
          </w14:textFill>
        </w:rPr>
        <w:t xml:space="preserve">THIS AGREEMENT </w:t>
      </w:r>
      <w:r>
        <w:rPr>
          <w:rFonts w:ascii="Times New Roman" w:hAnsi="Times New Roman" w:eastAsia="Times New Roman" w:cs="Times New Roman"/>
          <w:color w:val="000000" w:themeColor="text1"/>
          <w:sz w:val="22"/>
          <w:szCs w:val="22"/>
          <w:lang w:val="en-GB"/>
          <w14:textFill>
            <w14:solidFill>
              <w14:schemeClr w14:val="tx1"/>
            </w14:solidFill>
          </w14:textFill>
        </w:rPr>
        <w:t>is made and entered into on the date of the last signature below by and between the following parties (each a “</w:t>
      </w:r>
      <w:r>
        <w:rPr>
          <w:rFonts w:ascii="Times New Roman" w:hAnsi="Times New Roman" w:eastAsia="Times New Roman" w:cs="Times New Roman"/>
          <w:b/>
          <w:bCs/>
          <w:color w:val="000000" w:themeColor="text1"/>
          <w:sz w:val="22"/>
          <w:szCs w:val="22"/>
          <w:lang w:val="en-GB"/>
          <w14:textFill>
            <w14:solidFill>
              <w14:schemeClr w14:val="tx1"/>
            </w14:solidFill>
          </w14:textFill>
        </w:rPr>
        <w:t>Party</w:t>
      </w:r>
      <w:r>
        <w:rPr>
          <w:rFonts w:ascii="Times New Roman" w:hAnsi="Times New Roman" w:eastAsia="Times New Roman" w:cs="Times New Roman"/>
          <w:color w:val="000000" w:themeColor="text1"/>
          <w:sz w:val="22"/>
          <w:szCs w:val="22"/>
          <w:lang w:val="en-GB"/>
          <w14:textFill>
            <w14:solidFill>
              <w14:schemeClr w14:val="tx1"/>
            </w14:solidFill>
          </w14:textFill>
        </w:rPr>
        <w:t>” and together the “</w:t>
      </w:r>
      <w:r>
        <w:rPr>
          <w:rFonts w:ascii="Times New Roman" w:hAnsi="Times New Roman" w:eastAsia="Times New Roman" w:cs="Times New Roman"/>
          <w:b/>
          <w:bCs/>
          <w:color w:val="000000" w:themeColor="text1"/>
          <w:sz w:val="22"/>
          <w:szCs w:val="22"/>
          <w:lang w:val="en-GB"/>
          <w14:textFill>
            <w14:solidFill>
              <w14:schemeClr w14:val="tx1"/>
            </w14:solidFill>
          </w14:textFill>
        </w:rPr>
        <w:t>Parties</w:t>
      </w:r>
      <w:r>
        <w:rPr>
          <w:rFonts w:ascii="Times New Roman" w:hAnsi="Times New Roman" w:eastAsia="Times New Roman" w:cs="Times New Roman"/>
          <w:color w:val="000000" w:themeColor="text1"/>
          <w:sz w:val="22"/>
          <w:szCs w:val="22"/>
          <w:lang w:val="en-GB"/>
          <w14:textFill>
            <w14:solidFill>
              <w14:schemeClr w14:val="tx1"/>
            </w14:solidFill>
          </w14:textFill>
        </w:rPr>
        <w:t>”), who have agreed to the following terms and conditions governing the Buyer’s purchase of sulphur from the Seller.</w:t>
      </w:r>
    </w:p>
    <w:p w14:paraId="74D3F962">
      <w:pPr>
        <w:spacing w:after="0"/>
        <w:jc w:val="both"/>
        <w:rPr>
          <w:rFonts w:hint="eastAsia" w:ascii="Times New Roman" w:hAnsi="Times New Roman" w:eastAsia="宋体" w:cs="Times New Roman"/>
          <w:color w:val="000000" w:themeColor="text1"/>
          <w:sz w:val="22"/>
          <w:szCs w:val="22"/>
          <w:lang w:val="en-GB" w:eastAsia="zh-CN"/>
          <w14:textFill>
            <w14:solidFill>
              <w14:schemeClr w14:val="tx1"/>
            </w14:solidFill>
          </w14:textFill>
        </w:rPr>
      </w:pPr>
      <w:r>
        <w:rPr>
          <w:rFonts w:hint="eastAsia" w:ascii="Times New Roman" w:hAnsi="Times New Roman" w:eastAsia="微软雅黑" w:cs="Times New Roman"/>
          <w:color w:val="000000" w:themeColor="text1"/>
          <w:sz w:val="22"/>
          <w:szCs w:val="22"/>
          <w:lang w:val="en-GB" w:eastAsia="zh-CN" w:bidi="ar-SA"/>
          <w14:textFill>
            <w14:solidFill>
              <w14:schemeClr w14:val="tx1"/>
            </w14:solidFill>
          </w14:textFill>
        </w:rPr>
        <w:t>本协议由以下各方（各方均称为“一方”，合称“双方”）于下述最后签署日期订立，各方已同意以下关于买方从卖方处采购硫磺的条款与条件。</w:t>
      </w:r>
    </w:p>
    <w:p w14:paraId="65F51A28">
      <w:pPr>
        <w:spacing w:after="0"/>
        <w:ind w:left="720"/>
        <w:jc w:val="both"/>
        <w:rPr>
          <w:rFonts w:ascii="Times New Roman" w:hAnsi="Times New Roman" w:eastAsia="Times New Roman" w:cs="Times New Roman"/>
          <w:color w:val="000000" w:themeColor="text1"/>
          <w:sz w:val="22"/>
          <w:szCs w:val="22"/>
          <w:lang w:val="en-GB"/>
          <w14:textFill>
            <w14:solidFill>
              <w14:schemeClr w14:val="tx1"/>
            </w14:solidFill>
          </w14:textFill>
        </w:rPr>
      </w:pPr>
    </w:p>
    <w:p w14:paraId="438E5889">
      <w:pPr>
        <w:spacing w:after="0"/>
        <w:jc w:val="both"/>
        <w:rPr>
          <w:rFonts w:ascii="Times New Roman" w:hAnsi="Times New Roman" w:eastAsia="Times New Roman" w:cs="Times New Roman"/>
          <w:b/>
          <w:bCs/>
          <w:color w:val="000000" w:themeColor="text1"/>
          <w:sz w:val="22"/>
          <w:szCs w:val="22"/>
          <w:lang w:val="en-GB"/>
          <w14:textFill>
            <w14:solidFill>
              <w14:schemeClr w14:val="tx1"/>
            </w14:solidFill>
          </w14:textFill>
        </w:rPr>
      </w:pPr>
      <w:r>
        <w:rPr>
          <w:rFonts w:ascii="Times New Roman" w:hAnsi="Times New Roman" w:eastAsia="Times New Roman" w:cs="Times New Roman"/>
          <w:b/>
          <w:bCs/>
          <w:color w:val="000000" w:themeColor="text1"/>
          <w:sz w:val="22"/>
          <w:szCs w:val="22"/>
          <w:lang w:val="en-GB"/>
          <w14:textFill>
            <w14:solidFill>
              <w14:schemeClr w14:val="tx1"/>
            </w14:solidFill>
          </w14:textFill>
        </w:rPr>
        <w:t xml:space="preserve">The Seller: </w:t>
      </w:r>
    </w:p>
    <w:p w14:paraId="6FB7918B">
      <w:pPr>
        <w:spacing w:after="0"/>
        <w:ind w:firstLine="720"/>
        <w:jc w:val="both"/>
        <w:rPr>
          <w:rFonts w:ascii="Times New Roman" w:hAnsi="Times New Roman" w:eastAsia="Times New Roman" w:cs="Times New Roman"/>
          <w:sz w:val="22"/>
          <w:szCs w:val="22"/>
          <w:highlight w:val="yellow"/>
          <w:lang w:val="en-GB"/>
        </w:rPr>
      </w:pPr>
      <w:r>
        <w:rPr>
          <w:rFonts w:ascii="Times New Roman" w:hAnsi="Times New Roman" w:eastAsia="Times New Roman" w:cs="Times New Roman"/>
          <w:sz w:val="22"/>
          <w:szCs w:val="22"/>
          <w:lang w:val="en-GB"/>
        </w:rPr>
        <w:t xml:space="preserve">Registered Address: </w:t>
      </w:r>
    </w:p>
    <w:p w14:paraId="7FF54FD8">
      <w:pPr>
        <w:spacing w:after="0"/>
        <w:ind w:firstLine="720"/>
        <w:jc w:val="both"/>
        <w:rPr>
          <w:rFonts w:ascii="Times New Roman" w:hAnsi="Times New Roman" w:eastAsia="Times New Roman" w:cs="Times New Roman"/>
          <w:sz w:val="22"/>
          <w:szCs w:val="22"/>
          <w:highlight w:val="yellow"/>
          <w:lang w:val="en-GB"/>
        </w:rPr>
      </w:pPr>
      <w:r>
        <w:rPr>
          <w:rFonts w:ascii="Times New Roman" w:hAnsi="Times New Roman" w:eastAsia="Times New Roman" w:cs="Times New Roman"/>
          <w:sz w:val="22"/>
          <w:szCs w:val="22"/>
          <w:lang w:val="en-GB"/>
        </w:rPr>
        <w:t xml:space="preserve">Registration Number: </w:t>
      </w:r>
    </w:p>
    <w:p w14:paraId="05A6DDDE">
      <w:pPr>
        <w:spacing w:after="0"/>
        <w:ind w:firstLine="720"/>
        <w:jc w:val="both"/>
        <w:rPr>
          <w:rFonts w:ascii="Times New Roman" w:hAnsi="Times New Roman" w:eastAsia="Times New Roman" w:cs="Times New Roman"/>
          <w:sz w:val="22"/>
          <w:szCs w:val="22"/>
          <w:lang w:val="en-GB"/>
        </w:rPr>
      </w:pPr>
      <w:r>
        <w:rPr>
          <w:rFonts w:ascii="Times New Roman" w:hAnsi="Times New Roman" w:eastAsia="Times New Roman" w:cs="Times New Roman"/>
          <w:sz w:val="22"/>
          <w:szCs w:val="22"/>
          <w:lang w:val="en-GB"/>
        </w:rPr>
        <w:t xml:space="preserve">Authorised Representative: </w:t>
      </w:r>
    </w:p>
    <w:p w14:paraId="259E360A">
      <w:pPr>
        <w:spacing w:after="0"/>
        <w:ind w:firstLine="720"/>
        <w:jc w:val="both"/>
        <w:rPr>
          <w:rFonts w:ascii="Times New Roman" w:hAnsi="Times New Roman" w:eastAsia="Times New Roman" w:cs="Times New Roman"/>
          <w:sz w:val="22"/>
          <w:szCs w:val="22"/>
          <w:lang w:val="en-GB"/>
        </w:rPr>
      </w:pPr>
      <w:r>
        <w:rPr>
          <w:rFonts w:ascii="Times New Roman" w:hAnsi="Times New Roman" w:eastAsia="Times New Roman" w:cs="Times New Roman"/>
          <w:sz w:val="22"/>
          <w:szCs w:val="22"/>
          <w:lang w:val="en-GB"/>
        </w:rPr>
        <w:t>(hereinafter the “</w:t>
      </w:r>
      <w:r>
        <w:rPr>
          <w:rFonts w:ascii="Times New Roman" w:hAnsi="Times New Roman" w:eastAsia="Times New Roman" w:cs="Times New Roman"/>
          <w:b/>
          <w:bCs/>
          <w:sz w:val="22"/>
          <w:szCs w:val="22"/>
          <w:lang w:val="en-GB"/>
        </w:rPr>
        <w:t>Seller</w:t>
      </w:r>
      <w:r>
        <w:rPr>
          <w:rFonts w:ascii="Times New Roman" w:hAnsi="Times New Roman" w:eastAsia="Times New Roman" w:cs="Times New Roman"/>
          <w:sz w:val="22"/>
          <w:szCs w:val="22"/>
          <w:lang w:val="en-GB"/>
        </w:rPr>
        <w:t>”)</w:t>
      </w:r>
    </w:p>
    <w:p w14:paraId="4F8243B2">
      <w:pPr>
        <w:spacing w:after="0"/>
        <w:jc w:val="both"/>
        <w:rPr>
          <w:rFonts w:hint="eastAsia" w:ascii="Times New Roman" w:hAnsi="Times New Roman" w:eastAsia="宋体" w:cs="Times New Roman"/>
          <w:b/>
          <w:bCs/>
          <w:color w:val="000000" w:themeColor="text1"/>
          <w:sz w:val="22"/>
          <w:szCs w:val="22"/>
          <w:lang w:val="en-GB" w:eastAsia="zh-CN"/>
          <w14:textFill>
            <w14:solidFill>
              <w14:schemeClr w14:val="tx1"/>
            </w14:solidFill>
          </w14:textFill>
        </w:rPr>
      </w:pPr>
      <w:r>
        <w:rPr>
          <w:rFonts w:hint="eastAsia" w:ascii="Times New Roman" w:hAnsi="Times New Roman" w:eastAsia="微软雅黑" w:cs="Times New Roman"/>
          <w:b/>
          <w:bCs/>
          <w:color w:val="000000" w:themeColor="text1"/>
          <w:sz w:val="22"/>
          <w:szCs w:val="22"/>
          <w:lang w:val="en-GB" w:eastAsia="zh-CN" w:bidi="ar-SA"/>
          <w14:textFill>
            <w14:solidFill>
              <w14:schemeClr w14:val="tx1"/>
            </w14:solidFill>
          </w14:textFill>
        </w:rPr>
        <w:t>卖方：有限公司</w:t>
      </w:r>
    </w:p>
    <w:p w14:paraId="28175669">
      <w:pPr>
        <w:spacing w:after="0"/>
        <w:ind w:firstLine="720"/>
        <w:jc w:val="both"/>
        <w:rPr>
          <w:rFonts w:hint="eastAsia" w:ascii="Times New Roman" w:hAnsi="Times New Roman" w:eastAsia="宋体" w:cs="Times New Roman"/>
          <w:sz w:val="22"/>
          <w:szCs w:val="22"/>
          <w:highlight w:val="yellow"/>
          <w:lang w:val="en-GB" w:eastAsia="zh-CN"/>
        </w:rPr>
      </w:pPr>
      <w:r>
        <w:rPr>
          <w:rFonts w:hint="eastAsia" w:ascii="Times New Roman" w:hAnsi="Times New Roman" w:eastAsia="微软雅黑" w:cs="Times New Roman"/>
          <w:sz w:val="22"/>
          <w:szCs w:val="22"/>
          <w:lang w:val="en-GB" w:eastAsia="zh-CN" w:bidi="ar-SA"/>
        </w:rPr>
        <w:t>注册地址：</w:t>
      </w:r>
    </w:p>
    <w:p w14:paraId="689B5296">
      <w:pPr>
        <w:spacing w:after="0"/>
        <w:ind w:firstLine="720"/>
        <w:jc w:val="both"/>
        <w:rPr>
          <w:rFonts w:hint="eastAsia" w:ascii="Times New Roman" w:hAnsi="Times New Roman" w:eastAsia="宋体" w:cs="Times New Roman"/>
          <w:sz w:val="22"/>
          <w:szCs w:val="22"/>
          <w:highlight w:val="yellow"/>
          <w:lang w:val="en-GB" w:eastAsia="zh-CN"/>
        </w:rPr>
      </w:pPr>
      <w:r>
        <w:rPr>
          <w:rFonts w:hint="eastAsia" w:ascii="Times New Roman" w:hAnsi="Times New Roman" w:eastAsia="微软雅黑" w:cs="Times New Roman"/>
          <w:sz w:val="22"/>
          <w:szCs w:val="22"/>
          <w:lang w:val="en-GB" w:eastAsia="zh-CN" w:bidi="ar-SA"/>
        </w:rPr>
        <w:t>注册号：</w:t>
      </w:r>
    </w:p>
    <w:p w14:paraId="1F18D6D4">
      <w:pPr>
        <w:spacing w:after="0"/>
        <w:ind w:firstLine="720"/>
        <w:jc w:val="both"/>
        <w:rPr>
          <w:rFonts w:hint="eastAsia" w:ascii="Times New Roman" w:hAnsi="Times New Roman" w:eastAsia="宋体" w:cs="Times New Roman"/>
          <w:sz w:val="22"/>
          <w:szCs w:val="22"/>
          <w:lang w:val="en-GB" w:eastAsia="zh-CN"/>
        </w:rPr>
      </w:pPr>
      <w:r>
        <w:rPr>
          <w:rFonts w:hint="eastAsia" w:ascii="Times New Roman" w:hAnsi="Times New Roman" w:eastAsia="微软雅黑" w:cs="Times New Roman"/>
          <w:sz w:val="22"/>
          <w:szCs w:val="22"/>
          <w:lang w:val="en-GB" w:eastAsia="zh-CN" w:bidi="ar-SA"/>
        </w:rPr>
        <w:t>授权代表</w:t>
      </w:r>
    </w:p>
    <w:p w14:paraId="180BFA6E">
      <w:pPr>
        <w:spacing w:after="0"/>
        <w:ind w:firstLine="720"/>
        <w:jc w:val="both"/>
        <w:rPr>
          <w:rFonts w:hint="eastAsia" w:ascii="Times New Roman" w:hAnsi="Times New Roman" w:eastAsia="宋体" w:cs="Times New Roman"/>
          <w:sz w:val="22"/>
          <w:szCs w:val="22"/>
          <w:lang w:val="en-GB" w:eastAsia="zh-CN"/>
        </w:rPr>
      </w:pPr>
      <w:r>
        <w:rPr>
          <w:rFonts w:hint="eastAsia" w:ascii="Times New Roman" w:hAnsi="Times New Roman" w:eastAsia="微软雅黑" w:cs="Times New Roman"/>
          <w:sz w:val="22"/>
          <w:szCs w:val="22"/>
          <w:lang w:val="en-GB" w:eastAsia="zh-CN" w:bidi="ar-SA"/>
        </w:rPr>
        <w:t>（以下简称“卖方”）</w:t>
      </w:r>
    </w:p>
    <w:p w14:paraId="6CBC902B">
      <w:pPr>
        <w:spacing w:after="0"/>
        <w:ind w:firstLine="720"/>
        <w:jc w:val="both"/>
        <w:rPr>
          <w:rFonts w:ascii="Times New Roman" w:hAnsi="Times New Roman" w:eastAsia="Times New Roman" w:cs="Times New Roman"/>
          <w:sz w:val="22"/>
          <w:szCs w:val="22"/>
          <w:lang w:val="en-GB"/>
        </w:rPr>
      </w:pPr>
    </w:p>
    <w:p w14:paraId="7E59038A">
      <w:pPr>
        <w:spacing w:after="0"/>
        <w:ind w:firstLine="720"/>
        <w:jc w:val="both"/>
        <w:rPr>
          <w:rFonts w:ascii="Times New Roman" w:hAnsi="Times New Roman" w:eastAsia="Times New Roman" w:cs="Times New Roman"/>
          <w:b/>
          <w:bCs/>
          <w:color w:val="000000" w:themeColor="text1"/>
          <w:sz w:val="22"/>
          <w:szCs w:val="22"/>
          <w:highlight w:val="yellow"/>
          <w:lang w:val="en-GB"/>
          <w14:textFill>
            <w14:solidFill>
              <w14:schemeClr w14:val="tx1"/>
            </w14:solidFill>
          </w14:textFill>
        </w:rPr>
      </w:pPr>
    </w:p>
    <w:p w14:paraId="029B81D5">
      <w:pPr>
        <w:spacing w:after="0"/>
        <w:jc w:val="both"/>
        <w:rPr>
          <w:rFonts w:ascii="Times New Roman" w:hAnsi="Times New Roman" w:eastAsia="Times New Roman" w:cs="Times New Roman"/>
          <w:sz w:val="22"/>
          <w:szCs w:val="22"/>
          <w:highlight w:val="yellow"/>
          <w:lang w:val="en-GB"/>
        </w:rPr>
      </w:pPr>
      <w:r>
        <w:rPr>
          <w:rFonts w:ascii="Times New Roman" w:hAnsi="Times New Roman" w:eastAsia="Times New Roman" w:cs="Times New Roman"/>
          <w:b/>
          <w:bCs/>
          <w:color w:val="000000" w:themeColor="text1"/>
          <w:sz w:val="22"/>
          <w:szCs w:val="22"/>
          <w:lang w:val="en-GB"/>
          <w14:textFill>
            <w14:solidFill>
              <w14:schemeClr w14:val="tx1"/>
            </w14:solidFill>
          </w14:textFill>
        </w:rPr>
        <w:t xml:space="preserve">The Buyer: </w:t>
      </w:r>
      <w:r>
        <w:rPr>
          <w:rFonts w:ascii="Times New Roman" w:hAnsi="Times New Roman" w:eastAsia="Times New Roman" w:cs="Times New Roman"/>
          <w:b/>
          <w:bCs/>
          <w:color w:val="000000" w:themeColor="text1"/>
          <w:sz w:val="22"/>
          <w:szCs w:val="22"/>
          <w:highlight w:val="yellow"/>
          <w:lang w:val="en-GB"/>
          <w14:textFill>
            <w14:solidFill>
              <w14:schemeClr w14:val="tx1"/>
            </w14:solidFill>
          </w14:textFill>
        </w:rPr>
        <w:t>[Company Name]</w:t>
      </w:r>
    </w:p>
    <w:p w14:paraId="6C2166C8">
      <w:pPr>
        <w:spacing w:after="0"/>
        <w:ind w:firstLine="720"/>
        <w:jc w:val="both"/>
        <w:rPr>
          <w:rFonts w:ascii="Times New Roman" w:hAnsi="Times New Roman" w:eastAsia="Times New Roman" w:cs="Times New Roman"/>
          <w:sz w:val="22"/>
          <w:szCs w:val="22"/>
          <w:highlight w:val="yellow"/>
          <w:lang w:val="en-GB"/>
        </w:rPr>
      </w:pPr>
      <w:r>
        <w:rPr>
          <w:rFonts w:ascii="Times New Roman" w:hAnsi="Times New Roman" w:eastAsia="Times New Roman" w:cs="Times New Roman"/>
          <w:sz w:val="22"/>
          <w:szCs w:val="22"/>
          <w:lang w:val="en-GB"/>
        </w:rPr>
        <w:t xml:space="preserve">Registered Address: </w:t>
      </w:r>
      <w:r>
        <w:rPr>
          <w:rFonts w:ascii="Times New Roman" w:hAnsi="Times New Roman" w:eastAsia="Times New Roman" w:cs="Times New Roman"/>
          <w:sz w:val="22"/>
          <w:szCs w:val="22"/>
          <w:highlight w:val="yellow"/>
          <w:lang w:val="en-GB"/>
        </w:rPr>
        <w:t>[Registered Address]</w:t>
      </w:r>
    </w:p>
    <w:p w14:paraId="323ABFE3">
      <w:pPr>
        <w:spacing w:after="0"/>
        <w:ind w:firstLine="720"/>
        <w:jc w:val="both"/>
        <w:rPr>
          <w:rFonts w:ascii="Times New Roman" w:hAnsi="Times New Roman" w:eastAsia="Times New Roman" w:cs="Times New Roman"/>
          <w:sz w:val="22"/>
          <w:szCs w:val="22"/>
          <w:highlight w:val="yellow"/>
          <w:lang w:val="en-GB"/>
        </w:rPr>
      </w:pPr>
      <w:r>
        <w:rPr>
          <w:rFonts w:ascii="Times New Roman" w:hAnsi="Times New Roman" w:eastAsia="Times New Roman" w:cs="Times New Roman"/>
          <w:sz w:val="22"/>
          <w:szCs w:val="22"/>
          <w:lang w:val="en-GB"/>
        </w:rPr>
        <w:t xml:space="preserve">Registration Number: </w:t>
      </w:r>
      <w:r>
        <w:rPr>
          <w:rFonts w:ascii="Times New Roman" w:hAnsi="Times New Roman" w:eastAsia="Times New Roman" w:cs="Times New Roman"/>
          <w:sz w:val="22"/>
          <w:szCs w:val="22"/>
          <w:highlight w:val="yellow"/>
          <w:lang w:val="en-GB"/>
        </w:rPr>
        <w:t>[Registered Number]</w:t>
      </w:r>
    </w:p>
    <w:p w14:paraId="5E6F1CC0">
      <w:pPr>
        <w:spacing w:after="0"/>
        <w:ind w:firstLine="720"/>
        <w:jc w:val="both"/>
        <w:rPr>
          <w:rFonts w:ascii="Times New Roman" w:hAnsi="Times New Roman" w:eastAsia="Times New Roman" w:cs="Times New Roman"/>
          <w:sz w:val="22"/>
          <w:szCs w:val="22"/>
          <w:highlight w:val="yellow"/>
          <w:lang w:val="en-GB"/>
        </w:rPr>
      </w:pPr>
      <w:r>
        <w:rPr>
          <w:rFonts w:ascii="Times New Roman" w:hAnsi="Times New Roman" w:eastAsia="Times New Roman" w:cs="Times New Roman"/>
          <w:sz w:val="22"/>
          <w:szCs w:val="22"/>
          <w:lang w:val="en-GB"/>
        </w:rPr>
        <w:t xml:space="preserve">Authorised Representative: </w:t>
      </w:r>
      <w:r>
        <w:rPr>
          <w:rFonts w:ascii="Times New Roman" w:hAnsi="Times New Roman" w:eastAsia="Times New Roman" w:cs="Times New Roman"/>
          <w:sz w:val="22"/>
          <w:szCs w:val="22"/>
          <w:highlight w:val="yellow"/>
          <w:lang w:val="en-GB"/>
        </w:rPr>
        <w:t>[Name]</w:t>
      </w:r>
      <w:r>
        <w:rPr>
          <w:rFonts w:ascii="Times New Roman" w:hAnsi="Times New Roman" w:eastAsia="Times New Roman" w:cs="Times New Roman"/>
          <w:sz w:val="22"/>
          <w:szCs w:val="22"/>
          <w:lang w:val="en-GB"/>
        </w:rPr>
        <w:t xml:space="preserve"> </w:t>
      </w:r>
    </w:p>
    <w:p w14:paraId="5EA6B337">
      <w:pPr>
        <w:spacing w:after="0"/>
        <w:ind w:firstLine="720"/>
        <w:jc w:val="both"/>
        <w:rPr>
          <w:rFonts w:ascii="Times New Roman" w:hAnsi="Times New Roman" w:eastAsia="Times New Roman" w:cs="Times New Roman"/>
          <w:sz w:val="22"/>
          <w:szCs w:val="22"/>
          <w:lang w:val="en-GB"/>
        </w:rPr>
      </w:pPr>
      <w:r>
        <w:rPr>
          <w:rFonts w:ascii="Times New Roman" w:hAnsi="Times New Roman" w:eastAsia="Times New Roman" w:cs="Times New Roman"/>
          <w:sz w:val="22"/>
          <w:szCs w:val="22"/>
          <w:lang w:val="en-GB"/>
        </w:rPr>
        <w:t>(hereinafter the “</w:t>
      </w:r>
      <w:r>
        <w:rPr>
          <w:rFonts w:ascii="Times New Roman" w:hAnsi="Times New Roman" w:eastAsia="Times New Roman" w:cs="Times New Roman"/>
          <w:b/>
          <w:bCs/>
          <w:sz w:val="22"/>
          <w:szCs w:val="22"/>
          <w:lang w:val="en-GB"/>
        </w:rPr>
        <w:t>Buyer</w:t>
      </w:r>
      <w:r>
        <w:rPr>
          <w:rFonts w:ascii="Times New Roman" w:hAnsi="Times New Roman" w:eastAsia="Times New Roman" w:cs="Times New Roman"/>
          <w:sz w:val="22"/>
          <w:szCs w:val="22"/>
          <w:lang w:val="en-GB"/>
        </w:rPr>
        <w:t>”)</w:t>
      </w:r>
    </w:p>
    <w:p w14:paraId="4ED19419">
      <w:pPr>
        <w:spacing w:after="0"/>
        <w:jc w:val="both"/>
        <w:rPr>
          <w:rFonts w:hint="eastAsia" w:ascii="Times New Roman" w:hAnsi="Times New Roman" w:eastAsia="宋体" w:cs="Times New Roman"/>
          <w:sz w:val="22"/>
          <w:szCs w:val="22"/>
          <w:highlight w:val="yellow"/>
          <w:lang w:val="en-GB" w:eastAsia="zh-CN"/>
        </w:rPr>
      </w:pPr>
      <w:r>
        <w:rPr>
          <w:rFonts w:hint="eastAsia" w:ascii="Times New Roman" w:hAnsi="Times New Roman" w:eastAsia="微软雅黑" w:cs="Times New Roman"/>
          <w:b/>
          <w:bCs/>
          <w:color w:val="000000" w:themeColor="text1"/>
          <w:sz w:val="22"/>
          <w:szCs w:val="22"/>
          <w:highlight w:val="yellow"/>
          <w:lang w:val="en-GB" w:eastAsia="zh-CN" w:bidi="ar-SA"/>
          <w14:textFill>
            <w14:solidFill>
              <w14:schemeClr w14:val="tx1"/>
            </w14:solidFill>
          </w14:textFill>
        </w:rPr>
        <w:t>买方：[公司名称]</w:t>
      </w:r>
    </w:p>
    <w:p w14:paraId="404DA081">
      <w:pPr>
        <w:spacing w:after="0"/>
        <w:ind w:firstLine="720"/>
        <w:jc w:val="both"/>
        <w:rPr>
          <w:rFonts w:hint="eastAsia" w:ascii="Times New Roman" w:hAnsi="Times New Roman" w:eastAsia="宋体" w:cs="Times New Roman"/>
          <w:sz w:val="22"/>
          <w:szCs w:val="22"/>
          <w:highlight w:val="yellow"/>
          <w:lang w:val="en-GB" w:eastAsia="zh-CN"/>
        </w:rPr>
      </w:pPr>
      <w:r>
        <w:rPr>
          <w:rFonts w:hint="eastAsia" w:ascii="Times New Roman" w:hAnsi="Times New Roman" w:eastAsia="微软雅黑" w:cs="Times New Roman"/>
          <w:sz w:val="22"/>
          <w:szCs w:val="22"/>
          <w:highlight w:val="yellow"/>
          <w:lang w:val="en-GB" w:eastAsia="zh-CN" w:bidi="ar-SA"/>
        </w:rPr>
        <w:t>注册地址：[注册地址]</w:t>
      </w:r>
    </w:p>
    <w:p w14:paraId="142C2B1D">
      <w:pPr>
        <w:spacing w:after="0"/>
        <w:ind w:firstLine="720"/>
        <w:jc w:val="both"/>
        <w:rPr>
          <w:rFonts w:hint="eastAsia" w:ascii="Times New Roman" w:hAnsi="Times New Roman" w:eastAsia="宋体" w:cs="Times New Roman"/>
          <w:sz w:val="22"/>
          <w:szCs w:val="22"/>
          <w:highlight w:val="yellow"/>
          <w:lang w:val="en-GB" w:eastAsia="zh-CN"/>
        </w:rPr>
      </w:pPr>
      <w:r>
        <w:rPr>
          <w:rFonts w:hint="eastAsia" w:ascii="Times New Roman" w:hAnsi="Times New Roman" w:eastAsia="微软雅黑" w:cs="Times New Roman"/>
          <w:sz w:val="22"/>
          <w:szCs w:val="22"/>
          <w:highlight w:val="yellow"/>
          <w:lang w:val="en-GB" w:eastAsia="zh-CN" w:bidi="ar-SA"/>
        </w:rPr>
        <w:t>注册编号：[注册编号]</w:t>
      </w:r>
    </w:p>
    <w:p w14:paraId="074767DC">
      <w:pPr>
        <w:spacing w:after="0"/>
        <w:ind w:firstLine="720"/>
        <w:jc w:val="both"/>
        <w:rPr>
          <w:rFonts w:hint="eastAsia" w:ascii="Times New Roman" w:hAnsi="Times New Roman" w:eastAsia="宋体" w:cs="Times New Roman"/>
          <w:sz w:val="22"/>
          <w:szCs w:val="22"/>
          <w:highlight w:val="yellow"/>
          <w:lang w:val="en-GB" w:eastAsia="zh-CN"/>
        </w:rPr>
      </w:pPr>
      <w:r>
        <w:rPr>
          <w:rFonts w:hint="eastAsia" w:ascii="Times New Roman" w:hAnsi="Times New Roman" w:eastAsia="微软雅黑" w:cs="Times New Roman"/>
          <w:sz w:val="22"/>
          <w:szCs w:val="22"/>
          <w:lang w:val="en-GB" w:eastAsia="zh-CN" w:bidi="ar-SA"/>
        </w:rPr>
        <w:t>授权代表：[姓名]</w:t>
      </w:r>
    </w:p>
    <w:p w14:paraId="27A9AA1B">
      <w:pPr>
        <w:spacing w:after="0"/>
        <w:ind w:firstLine="720"/>
        <w:jc w:val="both"/>
        <w:rPr>
          <w:rFonts w:ascii="Times New Roman" w:hAnsi="Times New Roman" w:eastAsia="Times New Roman" w:cs="Times New Roman"/>
          <w:sz w:val="22"/>
          <w:szCs w:val="22"/>
          <w:lang w:val="en-GB"/>
        </w:rPr>
      </w:pPr>
      <w:r>
        <w:rPr>
          <w:rFonts w:hint="eastAsia" w:ascii="Times New Roman" w:hAnsi="Times New Roman" w:eastAsia="微软雅黑" w:cs="Times New Roman"/>
          <w:sz w:val="22"/>
          <w:szCs w:val="22"/>
          <w:lang w:val="en-GB" w:eastAsia="zh-CN" w:bidi="ar-SA"/>
        </w:rPr>
        <w:t>（以下简称“买方”）</w:t>
      </w:r>
    </w:p>
    <w:p w14:paraId="2BEC1385">
      <w:pPr>
        <w:spacing w:after="0"/>
        <w:ind w:left="720"/>
        <w:jc w:val="both"/>
        <w:rPr>
          <w:rFonts w:ascii="Times New Roman" w:hAnsi="Times New Roman" w:eastAsia="Times New Roman" w:cs="Times New Roman"/>
          <w:color w:val="000000" w:themeColor="text1"/>
          <w:sz w:val="22"/>
          <w:szCs w:val="22"/>
          <w:lang w:val="en-GB"/>
          <w14:textFill>
            <w14:solidFill>
              <w14:schemeClr w14:val="tx1"/>
            </w14:solidFill>
          </w14:textFill>
        </w:rPr>
      </w:pPr>
    </w:p>
    <w:p w14:paraId="187545B3">
      <w:pPr>
        <w:pStyle w:val="7"/>
        <w:numPr>
          <w:ilvl w:val="0"/>
          <w:numId w:val="1"/>
        </w:numPr>
        <w:spacing w:after="0"/>
        <w:jc w:val="both"/>
        <w:rPr>
          <w:rFonts w:ascii="Times New Roman" w:hAnsi="Times New Roman" w:eastAsia="Times New Roman" w:cs="Times New Roman"/>
          <w:b/>
          <w:bCs/>
          <w:color w:val="000000" w:themeColor="text1"/>
          <w:sz w:val="22"/>
          <w:szCs w:val="22"/>
          <w:lang w:val="en-GB"/>
          <w14:textFill>
            <w14:solidFill>
              <w14:schemeClr w14:val="tx1"/>
            </w14:solidFill>
          </w14:textFill>
        </w:rPr>
      </w:pPr>
      <w:r>
        <w:rPr>
          <w:rFonts w:ascii="Times New Roman" w:hAnsi="Times New Roman" w:eastAsia="Times New Roman" w:cs="Times New Roman"/>
          <w:b/>
          <w:bCs/>
          <w:color w:val="000000" w:themeColor="text1"/>
          <w:sz w:val="22"/>
          <w:szCs w:val="22"/>
          <w:lang w:val="en-GB"/>
          <w14:textFill>
            <w14:solidFill>
              <w14:schemeClr w14:val="tx1"/>
            </w14:solidFill>
          </w14:textFill>
        </w:rPr>
        <w:t>Commodity</w:t>
      </w:r>
    </w:p>
    <w:p w14:paraId="307E87EB">
      <w:pPr>
        <w:pStyle w:val="7"/>
        <w:numPr>
          <w:ilvl w:val="1"/>
          <w:numId w:val="1"/>
        </w:numPr>
        <w:spacing w:after="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Commodity: Industrial-grade granular Sulphur (“</w:t>
      </w:r>
      <w:r>
        <w:rPr>
          <w:rFonts w:ascii="Times New Roman" w:hAnsi="Times New Roman" w:eastAsia="Times New Roman" w:cs="Times New Roman"/>
          <w:b/>
          <w:bCs/>
          <w:color w:val="000000" w:themeColor="text1"/>
          <w:sz w:val="22"/>
          <w:szCs w:val="22"/>
          <w14:textFill>
            <w14:solidFill>
              <w14:schemeClr w14:val="tx1"/>
            </w14:solidFill>
          </w14:textFill>
        </w:rPr>
        <w:t>Goods</w:t>
      </w:r>
      <w:r>
        <w:rPr>
          <w:rFonts w:ascii="Times New Roman" w:hAnsi="Times New Roman" w:eastAsia="Times New Roman" w:cs="Times New Roman"/>
          <w:color w:val="000000" w:themeColor="text1"/>
          <w:sz w:val="22"/>
          <w:szCs w:val="22"/>
          <w14:textFill>
            <w14:solidFill>
              <w14:schemeClr w14:val="tx1"/>
            </w14:solidFill>
          </w14:textFill>
        </w:rPr>
        <w:t>”)</w:t>
      </w:r>
    </w:p>
    <w:p w14:paraId="20A62CC0">
      <w:pPr>
        <w:pStyle w:val="7"/>
        <w:numPr>
          <w:ilvl w:val="1"/>
          <w:numId w:val="1"/>
        </w:numPr>
        <w:spacing w:after="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 xml:space="preserve">Country of Origin: </w:t>
      </w:r>
      <w:r>
        <w:rPr>
          <w:rFonts w:ascii="Times New Roman" w:hAnsi="Times New Roman" w:eastAsia="Times New Roman" w:cs="Times New Roman"/>
          <w:color w:val="000000" w:themeColor="text1"/>
          <w:sz w:val="22"/>
          <w:szCs w:val="22"/>
          <w:highlight w:val="yellow"/>
          <w14:textFill>
            <w14:solidFill>
              <w14:schemeClr w14:val="tx1"/>
            </w14:solidFill>
          </w14:textFill>
        </w:rPr>
        <w:t>[Country of Origin]</w:t>
      </w:r>
    </w:p>
    <w:p w14:paraId="79254D96">
      <w:pPr>
        <w:pStyle w:val="7"/>
        <w:numPr>
          <w:ilvl w:val="1"/>
          <w:numId w:val="1"/>
        </w:numPr>
        <w:spacing w:after="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 xml:space="preserve">Packing: </w:t>
      </w:r>
      <w:r>
        <w:rPr>
          <w:rFonts w:ascii="Times New Roman" w:hAnsi="Times New Roman" w:eastAsia="Times New Roman" w:cs="Times New Roman"/>
          <w:color w:val="000000" w:themeColor="text1"/>
          <w:sz w:val="22"/>
          <w:szCs w:val="22"/>
          <w:highlight w:val="yellow"/>
          <w14:textFill>
            <w14:solidFill>
              <w14:schemeClr w14:val="tx1"/>
            </w14:solidFill>
          </w14:textFill>
        </w:rPr>
        <w:t>[Packaging]</w:t>
      </w:r>
    </w:p>
    <w:p w14:paraId="0A054E11">
      <w:pPr>
        <w:pStyle w:val="7"/>
        <w:numPr>
          <w:ilvl w:val="0"/>
          <w:numId w:val="2"/>
        </w:numPr>
        <w:spacing w:after="0"/>
        <w:ind w:left="360" w:leftChars="0" w:hanging="360" w:firstLineChars="0"/>
        <w:jc w:val="both"/>
        <w:rPr>
          <w:rFonts w:ascii="Times New Roman" w:hAnsi="Times New Roman" w:eastAsia="Times New Roman" w:cs="Times New Roman"/>
          <w:b/>
          <w:bCs/>
          <w:color w:val="000000" w:themeColor="text1"/>
          <w:sz w:val="22"/>
          <w:szCs w:val="22"/>
          <w:lang w:val="en-GB"/>
          <w14:textFill>
            <w14:solidFill>
              <w14:schemeClr w14:val="tx1"/>
            </w14:solidFill>
          </w14:textFill>
        </w:rPr>
      </w:pPr>
      <w:r>
        <w:rPr>
          <w:rFonts w:hint="eastAsia" w:ascii="Times New Roman" w:hAnsi="Times New Roman" w:eastAsia="微软雅黑" w:cs="Times New Roman"/>
          <w:b/>
          <w:bCs/>
          <w:color w:val="000000" w:themeColor="text1"/>
          <w:sz w:val="22"/>
          <w:szCs w:val="22"/>
          <w:lang w:val="en-GB" w:eastAsia="zh-CN" w:bidi="ar-SA"/>
          <w14:textFill>
            <w14:solidFill>
              <w14:schemeClr w14:val="tx1"/>
            </w14:solidFill>
          </w14:textFill>
        </w:rPr>
        <w:t>商品；大宗商品</w:t>
      </w:r>
    </w:p>
    <w:p w14:paraId="78191F4E">
      <w:pPr>
        <w:pStyle w:val="7"/>
        <w:numPr>
          <w:ilvl w:val="1"/>
          <w:numId w:val="2"/>
        </w:numPr>
        <w:spacing w:after="0"/>
        <w:ind w:left="900" w:leftChars="0" w:hanging="360" w:firstLineChars="0"/>
        <w:jc w:val="both"/>
        <w:rPr>
          <w:rFonts w:ascii="Times New Roman" w:hAnsi="Times New Roman" w:eastAsia="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商品：工业级颗粒状硫磺（“货物”）</w:t>
      </w:r>
    </w:p>
    <w:p w14:paraId="08E13529">
      <w:pPr>
        <w:pStyle w:val="7"/>
        <w:numPr>
          <w:ilvl w:val="1"/>
          <w:numId w:val="2"/>
        </w:numPr>
        <w:spacing w:after="0"/>
        <w:ind w:left="900" w:leftChars="0" w:hanging="360" w:firstLineChars="0"/>
        <w:jc w:val="both"/>
        <w:rPr>
          <w:rFonts w:ascii="Times New Roman" w:hAnsi="Times New Roman" w:eastAsia="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highlight w:val="yellow"/>
          <w:lang w:val="en-US" w:eastAsia="zh-CN" w:bidi="ar-SA"/>
          <w14:textFill>
            <w14:solidFill>
              <w14:schemeClr w14:val="tx1"/>
            </w14:solidFill>
          </w14:textFill>
        </w:rPr>
        <w:t>原产国：[原产国]</w:t>
      </w:r>
    </w:p>
    <w:p w14:paraId="06D3BF53">
      <w:pPr>
        <w:pStyle w:val="7"/>
        <w:numPr>
          <w:ilvl w:val="1"/>
          <w:numId w:val="2"/>
        </w:numPr>
        <w:spacing w:after="0"/>
        <w:ind w:left="900" w:leftChars="0" w:hanging="360" w:firstLineChars="0"/>
        <w:jc w:val="both"/>
        <w:rPr>
          <w:rFonts w:ascii="Times New Roman" w:hAnsi="Times New Roman" w:eastAsia="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highlight w:val="yellow"/>
          <w:lang w:val="en-US" w:eastAsia="zh-CN" w:bidi="ar-SA"/>
          <w14:textFill>
            <w14:solidFill>
              <w14:schemeClr w14:val="tx1"/>
            </w14:solidFill>
          </w14:textFill>
        </w:rPr>
        <w:t>包装：[包装]</w:t>
      </w:r>
    </w:p>
    <w:p w14:paraId="33C71B67">
      <w:pPr>
        <w:pStyle w:val="7"/>
        <w:spacing w:after="0"/>
        <w:ind w:left="1080"/>
        <w:jc w:val="both"/>
        <w:rPr>
          <w:rFonts w:ascii="Times New Roman" w:hAnsi="Times New Roman" w:eastAsia="Times New Roman" w:cs="Times New Roman"/>
          <w:color w:val="000000" w:themeColor="text1"/>
          <w:sz w:val="22"/>
          <w:szCs w:val="22"/>
          <w14:textFill>
            <w14:solidFill>
              <w14:schemeClr w14:val="tx1"/>
            </w14:solidFill>
          </w14:textFill>
        </w:rPr>
      </w:pPr>
    </w:p>
    <w:p w14:paraId="7D515CFD">
      <w:pPr>
        <w:pStyle w:val="7"/>
        <w:numPr>
          <w:ilvl w:val="0"/>
          <w:numId w:val="1"/>
        </w:numPr>
        <w:spacing w:after="0"/>
        <w:jc w:val="both"/>
        <w:rPr>
          <w:rFonts w:ascii="Times New Roman" w:hAnsi="Times New Roman" w:eastAsia="Times New Roman" w:cs="Times New Roman"/>
          <w:b/>
          <w:bCs/>
          <w:color w:val="000000" w:themeColor="text1"/>
          <w:sz w:val="22"/>
          <w:szCs w:val="22"/>
          <w14:textFill>
            <w14:solidFill>
              <w14:schemeClr w14:val="tx1"/>
            </w14:solidFill>
          </w14:textFill>
        </w:rPr>
      </w:pPr>
      <w:r>
        <w:rPr>
          <w:rFonts w:ascii="Times New Roman" w:hAnsi="Times New Roman" w:eastAsia="Times New Roman" w:cs="Times New Roman"/>
          <w:b/>
          <w:bCs/>
          <w:color w:val="000000" w:themeColor="text1"/>
          <w:sz w:val="22"/>
          <w:szCs w:val="22"/>
          <w14:textFill>
            <w14:solidFill>
              <w14:schemeClr w14:val="tx1"/>
            </w14:solidFill>
          </w14:textFill>
        </w:rPr>
        <w:t>Quantity</w:t>
      </w:r>
    </w:p>
    <w:p w14:paraId="22FBA748">
      <w:pPr>
        <w:spacing w:after="0"/>
        <w:ind w:left="36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 xml:space="preserve">Quantity: </w:t>
      </w:r>
      <w:r>
        <w:rPr>
          <w:rFonts w:ascii="Times New Roman" w:hAnsi="Times New Roman" w:eastAsia="Times New Roman" w:cs="Times New Roman"/>
          <w:color w:val="000000" w:themeColor="text1"/>
          <w:sz w:val="22"/>
          <w:szCs w:val="22"/>
          <w:highlight w:val="yellow"/>
          <w14:textFill>
            <w14:solidFill>
              <w14:schemeClr w14:val="tx1"/>
            </w14:solidFill>
          </w14:textFill>
        </w:rPr>
        <w:t>[Quantity]</w:t>
      </w:r>
      <w:r>
        <w:rPr>
          <w:rFonts w:ascii="Times New Roman" w:hAnsi="Times New Roman" w:eastAsia="Times New Roman" w:cs="Times New Roman"/>
          <w:color w:val="000000" w:themeColor="text1"/>
          <w:sz w:val="22"/>
          <w:szCs w:val="22"/>
          <w14:textFill>
            <w14:solidFill>
              <w14:schemeClr w14:val="tx1"/>
            </w14:solidFill>
          </w14:textFill>
        </w:rPr>
        <w:t xml:space="preserve"> metric tons (MT), with a tolerance of ±5% (at Seller's option), </w:t>
      </w:r>
      <w:r>
        <w:rPr>
          <w:rFonts w:hint="eastAsia" w:ascii="Times New Roman" w:hAnsi="Times New Roman" w:eastAsia="Times New Roman" w:cs="Times New Roman"/>
          <w:color w:val="000000" w:themeColor="text1"/>
          <w:sz w:val="22"/>
          <w:szCs w:val="22"/>
          <w14:textFill>
            <w14:solidFill>
              <w14:schemeClr w14:val="tx1"/>
            </w14:solidFill>
          </w14:textFill>
        </w:rPr>
        <w:t>to be agreed in writing by both Parties prior to each shipmen</w:t>
      </w:r>
      <w:r>
        <w:rPr>
          <w:rFonts w:ascii="Times New Roman" w:hAnsi="Times New Roman" w:eastAsia="Times New Roman" w:cs="Times New Roman"/>
          <w:color w:val="000000" w:themeColor="text1"/>
          <w:sz w:val="22"/>
          <w:szCs w:val="22"/>
          <w14:textFill>
            <w14:solidFill>
              <w14:schemeClr w14:val="tx1"/>
            </w14:solidFill>
          </w14:textFill>
        </w:rPr>
        <w:t>the over/short quantity to be settled at the Unit Price.</w:t>
      </w:r>
    </w:p>
    <w:p w14:paraId="501CEE17">
      <w:pPr>
        <w:pStyle w:val="7"/>
        <w:numPr>
          <w:ilvl w:val="0"/>
          <w:numId w:val="2"/>
        </w:numPr>
        <w:spacing w:after="0"/>
        <w:ind w:left="360" w:leftChars="0" w:hanging="360" w:firstLineChars="0"/>
        <w:jc w:val="both"/>
        <w:rPr>
          <w:rFonts w:ascii="Times New Roman" w:hAnsi="Times New Roman" w:eastAsia="Times New Roman" w:cs="Times New Roman"/>
          <w:b/>
          <w:bCs/>
          <w:color w:val="000000" w:themeColor="text1"/>
          <w:sz w:val="22"/>
          <w:szCs w:val="22"/>
          <w14:textFill>
            <w14:solidFill>
              <w14:schemeClr w14:val="tx1"/>
            </w14:solidFill>
          </w14:textFill>
        </w:rPr>
      </w:pPr>
      <w:r>
        <w:rPr>
          <w:rFonts w:hint="eastAsia" w:ascii="Times New Roman" w:hAnsi="Times New Roman" w:eastAsia="微软雅黑" w:cs="Times New Roman"/>
          <w:b/>
          <w:bCs/>
          <w:color w:val="000000" w:themeColor="text1"/>
          <w:sz w:val="22"/>
          <w:szCs w:val="22"/>
          <w:lang w:val="en-US" w:eastAsia="zh-CN" w:bidi="ar-SA"/>
          <w14:textFill>
            <w14:solidFill>
              <w14:schemeClr w14:val="tx1"/>
            </w14:solidFill>
          </w14:textFill>
        </w:rPr>
        <w:t>数量</w:t>
      </w:r>
    </w:p>
    <w:p w14:paraId="2620C20C">
      <w:pPr>
        <w:spacing w:after="0"/>
        <w:ind w:left="360"/>
        <w:jc w:val="both"/>
        <w:rPr>
          <w:rFonts w:ascii="Times New Roman" w:hAnsi="Times New Roman" w:eastAsia="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数量：[数量]公吨（MT），允许±5%的误差范围（由卖方自行决定）；具体幅度须经双方在每次装运前书面确认</w:t>
      </w:r>
      <w:r>
        <w:commentReference w:id="0"/>
      </w: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；超出或不足的数量均按单价结算。</w:t>
      </w:r>
    </w:p>
    <w:p w14:paraId="2BF3995C">
      <w:pPr>
        <w:pStyle w:val="7"/>
        <w:spacing w:after="0"/>
        <w:ind w:left="936"/>
        <w:jc w:val="both"/>
        <w:rPr>
          <w:rFonts w:ascii="Times New Roman" w:hAnsi="Times New Roman" w:eastAsia="Times New Roman" w:cs="Times New Roman"/>
          <w:color w:val="000000" w:themeColor="text1"/>
          <w:sz w:val="22"/>
          <w:szCs w:val="22"/>
          <w14:textFill>
            <w14:solidFill>
              <w14:schemeClr w14:val="tx1"/>
            </w14:solidFill>
          </w14:textFill>
        </w:rPr>
      </w:pPr>
    </w:p>
    <w:p w14:paraId="761B4CED">
      <w:pPr>
        <w:pStyle w:val="7"/>
        <w:numPr>
          <w:ilvl w:val="0"/>
          <w:numId w:val="1"/>
        </w:numPr>
        <w:spacing w:after="0"/>
        <w:jc w:val="both"/>
        <w:rPr>
          <w:rFonts w:ascii="Times New Roman" w:hAnsi="Times New Roman" w:eastAsia="Times New Roman" w:cs="Times New Roman"/>
          <w:b/>
          <w:bCs/>
          <w:color w:val="000000" w:themeColor="text1"/>
          <w:sz w:val="22"/>
          <w:szCs w:val="22"/>
          <w14:textFill>
            <w14:solidFill>
              <w14:schemeClr w14:val="tx1"/>
            </w14:solidFill>
          </w14:textFill>
        </w:rPr>
      </w:pPr>
      <w:r>
        <w:rPr>
          <w:rFonts w:ascii="Times New Roman" w:hAnsi="Times New Roman" w:eastAsia="Times New Roman" w:cs="Times New Roman"/>
          <w:b/>
          <w:bCs/>
          <w:color w:val="000000" w:themeColor="text1"/>
          <w:sz w:val="22"/>
          <w:szCs w:val="22"/>
          <w14:textFill>
            <w14:solidFill>
              <w14:schemeClr w14:val="tx1"/>
            </w14:solidFill>
          </w14:textFill>
        </w:rPr>
        <w:t>Specification</w:t>
      </w:r>
    </w:p>
    <w:p w14:paraId="3E25F804">
      <w:pPr>
        <w:pStyle w:val="7"/>
        <w:numPr>
          <w:ilvl w:val="1"/>
          <w:numId w:val="1"/>
        </w:numPr>
        <w:spacing w:after="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The Goods delivered shall conform to the technical indicators set out in the table below:</w:t>
      </w:r>
    </w:p>
    <w:tbl>
      <w:tblPr>
        <w:tblStyle w:val="5"/>
        <w:tblW w:w="0" w:type="auto"/>
        <w:tblInd w:w="0" w:type="dxa"/>
        <w:tblBorders>
          <w:top w:val="single" w:color="0C0C0C" w:themeColor="text1" w:themeTint="F2" w:sz="12" w:space="0"/>
          <w:left w:val="single" w:color="0C0C0C" w:themeColor="text1" w:themeTint="F2" w:sz="12" w:space="0"/>
          <w:bottom w:val="single" w:color="0C0C0C" w:themeColor="text1" w:themeTint="F2" w:sz="12" w:space="0"/>
          <w:right w:val="single" w:color="0C0C0C" w:themeColor="text1" w:themeTint="F2" w:sz="12" w:space="0"/>
          <w:insideH w:val="single" w:color="0C0C0C" w:themeColor="text1" w:themeTint="F2" w:sz="12" w:space="0"/>
          <w:insideV w:val="single" w:color="0C0C0C" w:themeColor="text1" w:themeTint="F2" w:sz="12" w:space="0"/>
        </w:tblBorders>
        <w:tblLayout w:type="autofit"/>
        <w:tblCellMar>
          <w:top w:w="0" w:type="dxa"/>
          <w:left w:w="108" w:type="dxa"/>
          <w:bottom w:w="0" w:type="dxa"/>
          <w:right w:w="108" w:type="dxa"/>
        </w:tblCellMar>
      </w:tblPr>
      <w:tblGrid>
        <w:gridCol w:w="4011"/>
        <w:gridCol w:w="2266"/>
        <w:gridCol w:w="2249"/>
      </w:tblGrid>
      <w:tr w14:paraId="088F362D">
        <w:tblPrEx>
          <w:tblBorders>
            <w:top w:val="single" w:color="0C0C0C" w:themeColor="text1" w:themeTint="F2" w:sz="12" w:space="0"/>
            <w:left w:val="single" w:color="0C0C0C" w:themeColor="text1" w:themeTint="F2" w:sz="12" w:space="0"/>
            <w:bottom w:val="single" w:color="0C0C0C" w:themeColor="text1" w:themeTint="F2" w:sz="12" w:space="0"/>
            <w:right w:val="single" w:color="0C0C0C" w:themeColor="text1" w:themeTint="F2" w:sz="12" w:space="0"/>
            <w:insideH w:val="single" w:color="0C0C0C" w:themeColor="text1" w:themeTint="F2" w:sz="12" w:space="0"/>
            <w:insideV w:val="single" w:color="0C0C0C" w:themeColor="text1" w:themeTint="F2" w:sz="12" w:space="0"/>
          </w:tblBorders>
          <w:tblCellMar>
            <w:top w:w="0" w:type="dxa"/>
            <w:left w:w="108" w:type="dxa"/>
            <w:bottom w:w="0" w:type="dxa"/>
            <w:right w:w="108" w:type="dxa"/>
          </w:tblCellMar>
        </w:tblPrEx>
        <w:trPr>
          <w:trHeight w:val="300" w:hRule="atLeast"/>
        </w:trPr>
        <w:tc>
          <w:tcPr>
            <w:tcW w:w="4528"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252525" w:themeFill="text1" w:themeFillTint="D9"/>
            <w:tcMar>
              <w:top w:w="60" w:type="dxa"/>
              <w:left w:w="110" w:type="dxa"/>
              <w:bottom w:w="60" w:type="dxa"/>
              <w:right w:w="110" w:type="dxa"/>
            </w:tcMar>
            <w:vAlign w:val="center"/>
          </w:tcPr>
          <w:p w14:paraId="402AD05B">
            <w:pPr>
              <w:spacing w:after="0"/>
              <w:rPr>
                <w:rFonts w:ascii="Times New Roman" w:hAnsi="Times New Roman" w:eastAsia="Times New Roman" w:cs="Times New Roman"/>
                <w:b/>
                <w:bCs/>
                <w:color w:val="FFFFFF" w:themeColor="background1"/>
                <w:sz w:val="20"/>
                <w:szCs w:val="20"/>
                <w14:textFill>
                  <w14:solidFill>
                    <w14:schemeClr w14:val="bg1"/>
                  </w14:solidFill>
                </w14:textFill>
              </w:rPr>
            </w:pPr>
            <w:r>
              <w:rPr>
                <w:rFonts w:ascii="Times New Roman" w:hAnsi="Times New Roman" w:eastAsia="Times New Roman" w:cs="Times New Roman"/>
                <w:b/>
                <w:bCs/>
                <w:color w:val="FFFFFF" w:themeColor="background1"/>
                <w:sz w:val="20"/>
                <w:szCs w:val="20"/>
                <w14:textFill>
                  <w14:solidFill>
                    <w14:schemeClr w14:val="bg1"/>
                  </w14:solidFill>
                </w14:textFill>
              </w:rPr>
              <w:t>Parameter</w:t>
            </w:r>
          </w:p>
        </w:tc>
        <w:tc>
          <w:tcPr>
            <w:tcW w:w="2449"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252525" w:themeFill="text1" w:themeFillTint="D9"/>
            <w:tcMar>
              <w:top w:w="60" w:type="dxa"/>
              <w:left w:w="110" w:type="dxa"/>
              <w:bottom w:w="60" w:type="dxa"/>
              <w:right w:w="110" w:type="dxa"/>
            </w:tcMar>
            <w:vAlign w:val="center"/>
          </w:tcPr>
          <w:p w14:paraId="222BB8E7">
            <w:pPr>
              <w:spacing w:after="0"/>
              <w:jc w:val="center"/>
              <w:rPr>
                <w:rFonts w:ascii="Times New Roman" w:hAnsi="Times New Roman" w:eastAsia="Times New Roman" w:cs="Times New Roman"/>
                <w:b/>
                <w:bCs/>
                <w:color w:val="FFFFFF" w:themeColor="background1"/>
                <w:sz w:val="20"/>
                <w:szCs w:val="20"/>
                <w14:textFill>
                  <w14:solidFill>
                    <w14:schemeClr w14:val="bg1"/>
                  </w14:solidFill>
                </w14:textFill>
              </w:rPr>
            </w:pPr>
            <w:r>
              <w:rPr>
                <w:rFonts w:ascii="Times New Roman" w:hAnsi="Times New Roman" w:eastAsia="Times New Roman" w:cs="Times New Roman"/>
                <w:b/>
                <w:bCs/>
                <w:color w:val="FFFFFF" w:themeColor="background1"/>
                <w:sz w:val="20"/>
                <w:szCs w:val="20"/>
                <w14:textFill>
                  <w14:solidFill>
                    <w14:schemeClr w14:val="bg1"/>
                  </w14:solidFill>
                </w14:textFill>
              </w:rPr>
              <w:t>Specification</w:t>
            </w:r>
          </w:p>
        </w:tc>
        <w:tc>
          <w:tcPr>
            <w:tcW w:w="2513"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252525" w:themeFill="text1" w:themeFillTint="D9"/>
            <w:tcMar>
              <w:top w:w="60" w:type="dxa"/>
              <w:left w:w="110" w:type="dxa"/>
              <w:bottom w:w="60" w:type="dxa"/>
              <w:right w:w="110" w:type="dxa"/>
            </w:tcMar>
            <w:vAlign w:val="center"/>
          </w:tcPr>
          <w:p w14:paraId="4CBA4B72">
            <w:pPr>
              <w:spacing w:after="0"/>
              <w:jc w:val="center"/>
              <w:rPr>
                <w:rFonts w:ascii="Times New Roman" w:hAnsi="Times New Roman" w:eastAsia="Times New Roman" w:cs="Times New Roman"/>
                <w:b/>
                <w:bCs/>
                <w:color w:val="FFFFFF" w:themeColor="background1"/>
                <w:sz w:val="20"/>
                <w:szCs w:val="20"/>
                <w14:textFill>
                  <w14:solidFill>
                    <w14:schemeClr w14:val="bg1"/>
                  </w14:solidFill>
                </w14:textFill>
              </w:rPr>
            </w:pPr>
            <w:r>
              <w:rPr>
                <w:rFonts w:ascii="Times New Roman" w:hAnsi="Times New Roman" w:eastAsia="Times New Roman" w:cs="Times New Roman"/>
                <w:b/>
                <w:bCs/>
                <w:color w:val="FFFFFF" w:themeColor="background1"/>
                <w:sz w:val="20"/>
                <w:szCs w:val="20"/>
                <w14:textFill>
                  <w14:solidFill>
                    <w14:schemeClr w14:val="bg1"/>
                  </w14:solidFill>
                </w14:textFill>
              </w:rPr>
              <w:t>Test Method</w:t>
            </w:r>
          </w:p>
        </w:tc>
      </w:tr>
      <w:tr w14:paraId="7DE3F67F">
        <w:tblPrEx>
          <w:tblBorders>
            <w:top w:val="single" w:color="0C0C0C" w:themeColor="text1" w:themeTint="F2" w:sz="12" w:space="0"/>
            <w:left w:val="single" w:color="0C0C0C" w:themeColor="text1" w:themeTint="F2" w:sz="12" w:space="0"/>
            <w:bottom w:val="single" w:color="0C0C0C" w:themeColor="text1" w:themeTint="F2" w:sz="12" w:space="0"/>
            <w:right w:val="single" w:color="0C0C0C" w:themeColor="text1" w:themeTint="F2" w:sz="12" w:space="0"/>
            <w:insideH w:val="single" w:color="0C0C0C" w:themeColor="text1" w:themeTint="F2" w:sz="12" w:space="0"/>
            <w:insideV w:val="single" w:color="0C0C0C" w:themeColor="text1" w:themeTint="F2" w:sz="12" w:space="0"/>
          </w:tblBorders>
          <w:tblCellMar>
            <w:top w:w="0" w:type="dxa"/>
            <w:left w:w="108" w:type="dxa"/>
            <w:bottom w:w="0" w:type="dxa"/>
            <w:right w:w="108" w:type="dxa"/>
          </w:tblCellMar>
        </w:tblPrEx>
        <w:trPr>
          <w:trHeight w:val="425" w:hRule="atLeast"/>
        </w:trPr>
        <w:tc>
          <w:tcPr>
            <w:tcW w:w="4528"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FFFFFF" w:themeFill="background1"/>
            <w:tcMar>
              <w:top w:w="60" w:type="dxa"/>
              <w:left w:w="110" w:type="dxa"/>
              <w:bottom w:w="60" w:type="dxa"/>
              <w:right w:w="110" w:type="dxa"/>
            </w:tcMar>
            <w:vAlign w:val="center"/>
          </w:tcPr>
          <w:p w14:paraId="77EAB593">
            <w:pPr>
              <w:spacing w:after="0"/>
              <w:rPr>
                <w:rFonts w:ascii="Times New Roman" w:hAnsi="Times New Roman" w:eastAsia="Times New Roman" w:cs="Times New Roman"/>
                <w:color w:val="000000" w:themeColor="text1"/>
                <w:sz w:val="20"/>
                <w:szCs w:val="20"/>
                <w14:textFill>
                  <w14:solidFill>
                    <w14:schemeClr w14:val="tx1"/>
                  </w14:solidFill>
                </w14:textFill>
              </w:rPr>
            </w:pPr>
            <w:r>
              <w:rPr>
                <w:rFonts w:ascii="Times New Roman" w:hAnsi="Times New Roman" w:eastAsia="Times New Roman" w:cs="Times New Roman"/>
                <w:color w:val="000000" w:themeColor="text1"/>
                <w:sz w:val="20"/>
                <w:szCs w:val="20"/>
                <w14:textFill>
                  <w14:solidFill>
                    <w14:schemeClr w14:val="tx1"/>
                  </w14:solidFill>
                </w14:textFill>
              </w:rPr>
              <w:t>Mass fraction of Sulphur, % min</w:t>
            </w:r>
          </w:p>
        </w:tc>
        <w:tc>
          <w:tcPr>
            <w:tcW w:w="2449"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FFFFFF" w:themeFill="background1"/>
            <w:tcMar>
              <w:top w:w="60" w:type="dxa"/>
              <w:left w:w="110" w:type="dxa"/>
              <w:bottom w:w="60" w:type="dxa"/>
              <w:right w:w="110" w:type="dxa"/>
            </w:tcMar>
            <w:vAlign w:val="center"/>
          </w:tcPr>
          <w:p w14:paraId="19120613">
            <w:pPr>
              <w:spacing w:after="0"/>
              <w:jc w:val="center"/>
              <w:rPr>
                <w:rFonts w:ascii="Times New Roman" w:hAnsi="Times New Roman" w:eastAsia="Times New Roman" w:cs="Times New Roman"/>
                <w:color w:val="000000" w:themeColor="text1"/>
                <w:sz w:val="20"/>
                <w:szCs w:val="20"/>
                <w:highlight w:val="yellow"/>
                <w14:textFill>
                  <w14:solidFill>
                    <w14:schemeClr w14:val="tx1"/>
                  </w14:solidFill>
                </w14:textFill>
              </w:rPr>
            </w:pPr>
            <w:r>
              <w:rPr>
                <w:rFonts w:ascii="Times New Roman" w:hAnsi="Times New Roman" w:eastAsia="Times New Roman" w:cs="Times New Roman"/>
                <w:color w:val="000000" w:themeColor="text1"/>
                <w:sz w:val="20"/>
                <w:szCs w:val="20"/>
                <w:highlight w:val="yellow"/>
                <w14:textFill>
                  <w14:solidFill>
                    <w14:schemeClr w14:val="tx1"/>
                  </w14:solidFill>
                </w14:textFill>
              </w:rPr>
              <w:t>[Purity]</w:t>
            </w:r>
          </w:p>
        </w:tc>
        <w:tc>
          <w:tcPr>
            <w:tcW w:w="2513"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FFFFFF" w:themeFill="background1"/>
            <w:tcMar>
              <w:top w:w="60" w:type="dxa"/>
              <w:left w:w="110" w:type="dxa"/>
              <w:bottom w:w="60" w:type="dxa"/>
              <w:right w:w="110" w:type="dxa"/>
            </w:tcMar>
            <w:vAlign w:val="center"/>
          </w:tcPr>
          <w:p w14:paraId="6EDB3456">
            <w:pPr>
              <w:spacing w:after="0"/>
              <w:jc w:val="center"/>
              <w:rPr>
                <w:rFonts w:ascii="Times New Roman" w:hAnsi="Times New Roman" w:eastAsia="Times New Roman" w:cs="Times New Roman"/>
                <w:color w:val="000000" w:themeColor="text1"/>
                <w:sz w:val="20"/>
                <w:szCs w:val="20"/>
                <w14:textFill>
                  <w14:solidFill>
                    <w14:schemeClr w14:val="tx1"/>
                  </w14:solidFill>
                </w14:textFill>
              </w:rPr>
            </w:pPr>
          </w:p>
        </w:tc>
      </w:tr>
      <w:tr w14:paraId="4BFA5C21">
        <w:tblPrEx>
          <w:tblBorders>
            <w:top w:val="single" w:color="0C0C0C" w:themeColor="text1" w:themeTint="F2" w:sz="12" w:space="0"/>
            <w:left w:val="single" w:color="0C0C0C" w:themeColor="text1" w:themeTint="F2" w:sz="12" w:space="0"/>
            <w:bottom w:val="single" w:color="0C0C0C" w:themeColor="text1" w:themeTint="F2" w:sz="12" w:space="0"/>
            <w:right w:val="single" w:color="0C0C0C" w:themeColor="text1" w:themeTint="F2" w:sz="12" w:space="0"/>
            <w:insideH w:val="single" w:color="0C0C0C" w:themeColor="text1" w:themeTint="F2" w:sz="12" w:space="0"/>
            <w:insideV w:val="single" w:color="0C0C0C" w:themeColor="text1" w:themeTint="F2" w:sz="12" w:space="0"/>
          </w:tblBorders>
          <w:tblCellMar>
            <w:top w:w="0" w:type="dxa"/>
            <w:left w:w="108" w:type="dxa"/>
            <w:bottom w:w="0" w:type="dxa"/>
            <w:right w:w="108" w:type="dxa"/>
          </w:tblCellMar>
        </w:tblPrEx>
        <w:trPr>
          <w:trHeight w:val="300" w:hRule="atLeast"/>
        </w:trPr>
        <w:tc>
          <w:tcPr>
            <w:tcW w:w="4528"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D8D8D8" w:themeFill="background1" w:themeFillShade="D9"/>
            <w:tcMar>
              <w:top w:w="60" w:type="dxa"/>
              <w:left w:w="110" w:type="dxa"/>
              <w:bottom w:w="60" w:type="dxa"/>
              <w:right w:w="110" w:type="dxa"/>
            </w:tcMar>
            <w:vAlign w:val="center"/>
          </w:tcPr>
          <w:p w14:paraId="59BE8DC6">
            <w:pPr>
              <w:spacing w:after="0"/>
              <w:rPr>
                <w:rFonts w:ascii="Times New Roman" w:hAnsi="Times New Roman" w:eastAsia="Times New Roman" w:cs="Times New Roman"/>
                <w:color w:val="000000" w:themeColor="text1"/>
                <w:sz w:val="20"/>
                <w:szCs w:val="20"/>
                <w14:textFill>
                  <w14:solidFill>
                    <w14:schemeClr w14:val="tx1"/>
                  </w14:solidFill>
                </w14:textFill>
              </w:rPr>
            </w:pPr>
            <w:r>
              <w:rPr>
                <w:rFonts w:ascii="Times New Roman" w:hAnsi="Times New Roman" w:eastAsia="Times New Roman" w:cs="Times New Roman"/>
                <w:color w:val="000000" w:themeColor="text1"/>
                <w:sz w:val="20"/>
                <w:szCs w:val="20"/>
                <w14:textFill>
                  <w14:solidFill>
                    <w14:schemeClr w14:val="tx1"/>
                  </w14:solidFill>
                </w14:textFill>
              </w:rPr>
              <w:t xml:space="preserve">Mass fraction of ash, % max </w:t>
            </w:r>
          </w:p>
        </w:tc>
        <w:tc>
          <w:tcPr>
            <w:tcW w:w="2449"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D8D8D8" w:themeFill="background1" w:themeFillShade="D9"/>
            <w:tcMar>
              <w:top w:w="60" w:type="dxa"/>
              <w:left w:w="110" w:type="dxa"/>
              <w:bottom w:w="60" w:type="dxa"/>
              <w:right w:w="110" w:type="dxa"/>
            </w:tcMar>
            <w:vAlign w:val="center"/>
          </w:tcPr>
          <w:p w14:paraId="5CAC1AE5">
            <w:pPr>
              <w:spacing w:after="0"/>
              <w:jc w:val="center"/>
              <w:rPr>
                <w:rFonts w:ascii="Times New Roman" w:hAnsi="Times New Roman" w:eastAsia="Times New Roman" w:cs="Times New Roman"/>
                <w:color w:val="000000" w:themeColor="text1"/>
                <w:sz w:val="20"/>
                <w:szCs w:val="20"/>
                <w14:textFill>
                  <w14:solidFill>
                    <w14:schemeClr w14:val="tx1"/>
                  </w14:solidFill>
                </w14:textFill>
              </w:rPr>
            </w:pPr>
          </w:p>
        </w:tc>
        <w:tc>
          <w:tcPr>
            <w:tcW w:w="2513"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D8D8D8" w:themeFill="background1" w:themeFillShade="D9"/>
            <w:tcMar>
              <w:top w:w="60" w:type="dxa"/>
              <w:left w:w="110" w:type="dxa"/>
              <w:bottom w:w="60" w:type="dxa"/>
              <w:right w:w="110" w:type="dxa"/>
            </w:tcMar>
            <w:vAlign w:val="center"/>
          </w:tcPr>
          <w:p w14:paraId="528EB25E">
            <w:pPr>
              <w:spacing w:after="0"/>
              <w:jc w:val="center"/>
              <w:rPr>
                <w:rFonts w:ascii="Times New Roman" w:hAnsi="Times New Roman" w:eastAsia="Times New Roman" w:cs="Times New Roman"/>
                <w:color w:val="000000" w:themeColor="text1"/>
                <w:sz w:val="20"/>
                <w:szCs w:val="20"/>
                <w14:textFill>
                  <w14:solidFill>
                    <w14:schemeClr w14:val="tx1"/>
                  </w14:solidFill>
                </w14:textFill>
              </w:rPr>
            </w:pPr>
          </w:p>
        </w:tc>
      </w:tr>
      <w:tr w14:paraId="4A16AC89">
        <w:tblPrEx>
          <w:tblBorders>
            <w:top w:val="single" w:color="0C0C0C" w:themeColor="text1" w:themeTint="F2" w:sz="12" w:space="0"/>
            <w:left w:val="single" w:color="0C0C0C" w:themeColor="text1" w:themeTint="F2" w:sz="12" w:space="0"/>
            <w:bottom w:val="single" w:color="0C0C0C" w:themeColor="text1" w:themeTint="F2" w:sz="12" w:space="0"/>
            <w:right w:val="single" w:color="0C0C0C" w:themeColor="text1" w:themeTint="F2" w:sz="12" w:space="0"/>
            <w:insideH w:val="single" w:color="0C0C0C" w:themeColor="text1" w:themeTint="F2" w:sz="12" w:space="0"/>
            <w:insideV w:val="single" w:color="0C0C0C" w:themeColor="text1" w:themeTint="F2" w:sz="12" w:space="0"/>
          </w:tblBorders>
          <w:tblCellMar>
            <w:top w:w="0" w:type="dxa"/>
            <w:left w:w="108" w:type="dxa"/>
            <w:bottom w:w="0" w:type="dxa"/>
            <w:right w:w="108" w:type="dxa"/>
          </w:tblCellMar>
        </w:tblPrEx>
        <w:trPr>
          <w:trHeight w:val="300" w:hRule="atLeast"/>
        </w:trPr>
        <w:tc>
          <w:tcPr>
            <w:tcW w:w="4528"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FFFFFF" w:themeFill="background1"/>
            <w:tcMar>
              <w:top w:w="60" w:type="dxa"/>
              <w:left w:w="110" w:type="dxa"/>
              <w:bottom w:w="60" w:type="dxa"/>
              <w:right w:w="110" w:type="dxa"/>
            </w:tcMar>
            <w:vAlign w:val="center"/>
          </w:tcPr>
          <w:p w14:paraId="69B1D36E">
            <w:pPr>
              <w:spacing w:after="0"/>
              <w:rPr>
                <w:rFonts w:ascii="Times New Roman" w:hAnsi="Times New Roman" w:eastAsia="Times New Roman" w:cs="Times New Roman"/>
                <w:color w:val="000000" w:themeColor="text1"/>
                <w:sz w:val="20"/>
                <w:szCs w:val="20"/>
                <w14:textFill>
                  <w14:solidFill>
                    <w14:schemeClr w14:val="tx1"/>
                  </w14:solidFill>
                </w14:textFill>
              </w:rPr>
            </w:pPr>
            <w:r>
              <w:rPr>
                <w:rFonts w:ascii="Times New Roman" w:hAnsi="Times New Roman" w:eastAsia="Times New Roman" w:cs="Times New Roman"/>
                <w:color w:val="000000" w:themeColor="text1"/>
                <w:sz w:val="20"/>
                <w:szCs w:val="20"/>
                <w14:textFill>
                  <w14:solidFill>
                    <w14:schemeClr w14:val="tx1"/>
                  </w14:solidFill>
                </w14:textFill>
              </w:rPr>
              <w:t>Mass fraction of organic substances, % max</w:t>
            </w:r>
          </w:p>
        </w:tc>
        <w:tc>
          <w:tcPr>
            <w:tcW w:w="2449"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FFFFFF" w:themeFill="background1"/>
            <w:tcMar>
              <w:top w:w="60" w:type="dxa"/>
              <w:left w:w="110" w:type="dxa"/>
              <w:bottom w:w="60" w:type="dxa"/>
              <w:right w:w="110" w:type="dxa"/>
            </w:tcMar>
            <w:vAlign w:val="center"/>
          </w:tcPr>
          <w:p w14:paraId="5D3180E4">
            <w:pPr>
              <w:spacing w:after="0"/>
              <w:jc w:val="center"/>
              <w:rPr>
                <w:rFonts w:ascii="Times New Roman" w:hAnsi="Times New Roman" w:eastAsia="Times New Roman" w:cs="Times New Roman"/>
                <w:color w:val="000000" w:themeColor="text1"/>
                <w:sz w:val="20"/>
                <w:szCs w:val="20"/>
                <w14:textFill>
                  <w14:solidFill>
                    <w14:schemeClr w14:val="tx1"/>
                  </w14:solidFill>
                </w14:textFill>
              </w:rPr>
            </w:pPr>
          </w:p>
        </w:tc>
        <w:tc>
          <w:tcPr>
            <w:tcW w:w="2513"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FFFFFF" w:themeFill="background1"/>
            <w:tcMar>
              <w:top w:w="60" w:type="dxa"/>
              <w:left w:w="110" w:type="dxa"/>
              <w:bottom w:w="60" w:type="dxa"/>
              <w:right w:w="110" w:type="dxa"/>
            </w:tcMar>
            <w:vAlign w:val="center"/>
          </w:tcPr>
          <w:p w14:paraId="74BF5802">
            <w:pPr>
              <w:spacing w:after="0"/>
              <w:jc w:val="center"/>
              <w:rPr>
                <w:rFonts w:ascii="Times New Roman" w:hAnsi="Times New Roman" w:eastAsia="Times New Roman" w:cs="Times New Roman"/>
                <w:color w:val="000000" w:themeColor="text1"/>
                <w:sz w:val="20"/>
                <w:szCs w:val="20"/>
                <w14:textFill>
                  <w14:solidFill>
                    <w14:schemeClr w14:val="tx1"/>
                  </w14:solidFill>
                </w14:textFill>
              </w:rPr>
            </w:pPr>
          </w:p>
        </w:tc>
      </w:tr>
      <w:tr w14:paraId="343499CB">
        <w:tblPrEx>
          <w:tblBorders>
            <w:top w:val="single" w:color="0C0C0C" w:themeColor="text1" w:themeTint="F2" w:sz="12" w:space="0"/>
            <w:left w:val="single" w:color="0C0C0C" w:themeColor="text1" w:themeTint="F2" w:sz="12" w:space="0"/>
            <w:bottom w:val="single" w:color="0C0C0C" w:themeColor="text1" w:themeTint="F2" w:sz="12" w:space="0"/>
            <w:right w:val="single" w:color="0C0C0C" w:themeColor="text1" w:themeTint="F2" w:sz="12" w:space="0"/>
            <w:insideH w:val="single" w:color="0C0C0C" w:themeColor="text1" w:themeTint="F2" w:sz="12" w:space="0"/>
            <w:insideV w:val="single" w:color="0C0C0C" w:themeColor="text1" w:themeTint="F2" w:sz="12" w:space="0"/>
          </w:tblBorders>
          <w:tblCellMar>
            <w:top w:w="0" w:type="dxa"/>
            <w:left w:w="108" w:type="dxa"/>
            <w:bottom w:w="0" w:type="dxa"/>
            <w:right w:w="108" w:type="dxa"/>
          </w:tblCellMar>
        </w:tblPrEx>
        <w:trPr>
          <w:trHeight w:val="300" w:hRule="atLeast"/>
        </w:trPr>
        <w:tc>
          <w:tcPr>
            <w:tcW w:w="4528"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D8D8D8" w:themeFill="background1" w:themeFillShade="D9"/>
            <w:tcMar>
              <w:top w:w="60" w:type="dxa"/>
              <w:left w:w="110" w:type="dxa"/>
              <w:bottom w:w="60" w:type="dxa"/>
              <w:right w:w="110" w:type="dxa"/>
            </w:tcMar>
            <w:vAlign w:val="center"/>
          </w:tcPr>
          <w:p w14:paraId="077C2A81">
            <w:pPr>
              <w:spacing w:after="0"/>
              <w:rPr>
                <w:rFonts w:ascii="Times New Roman" w:hAnsi="Times New Roman" w:eastAsia="Times New Roman" w:cs="Times New Roman"/>
                <w:color w:val="000000" w:themeColor="text1"/>
                <w:sz w:val="20"/>
                <w:szCs w:val="20"/>
                <w14:textFill>
                  <w14:solidFill>
                    <w14:schemeClr w14:val="tx1"/>
                  </w14:solidFill>
                </w14:textFill>
              </w:rPr>
            </w:pPr>
            <w:r>
              <w:rPr>
                <w:rFonts w:ascii="Times New Roman" w:hAnsi="Times New Roman" w:eastAsia="Times New Roman" w:cs="Times New Roman"/>
                <w:color w:val="000000" w:themeColor="text1"/>
                <w:sz w:val="20"/>
                <w:szCs w:val="20"/>
                <w14:textFill>
                  <w14:solidFill>
                    <w14:schemeClr w14:val="tx1"/>
                  </w14:solidFill>
                </w14:textFill>
              </w:rPr>
              <w:t>Mass fraction of acids in terms of sulphuric acid, %</w:t>
            </w:r>
          </w:p>
        </w:tc>
        <w:tc>
          <w:tcPr>
            <w:tcW w:w="2449"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D8D8D8" w:themeFill="background1" w:themeFillShade="D9"/>
            <w:tcMar>
              <w:top w:w="60" w:type="dxa"/>
              <w:left w:w="110" w:type="dxa"/>
              <w:bottom w:w="60" w:type="dxa"/>
              <w:right w:w="110" w:type="dxa"/>
            </w:tcMar>
            <w:vAlign w:val="center"/>
          </w:tcPr>
          <w:p w14:paraId="09233647">
            <w:pPr>
              <w:spacing w:after="0"/>
              <w:jc w:val="center"/>
              <w:rPr>
                <w:rFonts w:ascii="Times New Roman" w:hAnsi="Times New Roman" w:eastAsia="Times New Roman" w:cs="Times New Roman"/>
                <w:color w:val="000000" w:themeColor="text1"/>
                <w:sz w:val="20"/>
                <w:szCs w:val="20"/>
                <w14:textFill>
                  <w14:solidFill>
                    <w14:schemeClr w14:val="tx1"/>
                  </w14:solidFill>
                </w14:textFill>
              </w:rPr>
            </w:pPr>
          </w:p>
        </w:tc>
        <w:tc>
          <w:tcPr>
            <w:tcW w:w="2513"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D8D8D8" w:themeFill="background1" w:themeFillShade="D9"/>
            <w:tcMar>
              <w:top w:w="60" w:type="dxa"/>
              <w:left w:w="110" w:type="dxa"/>
              <w:bottom w:w="60" w:type="dxa"/>
              <w:right w:w="110" w:type="dxa"/>
            </w:tcMar>
            <w:vAlign w:val="center"/>
          </w:tcPr>
          <w:p w14:paraId="12FC69D0">
            <w:pPr>
              <w:spacing w:after="0"/>
              <w:jc w:val="center"/>
              <w:rPr>
                <w:rFonts w:ascii="Times New Roman" w:hAnsi="Times New Roman" w:eastAsia="Times New Roman" w:cs="Times New Roman"/>
                <w:color w:val="000000" w:themeColor="text1"/>
                <w:sz w:val="20"/>
                <w:szCs w:val="20"/>
                <w14:textFill>
                  <w14:solidFill>
                    <w14:schemeClr w14:val="tx1"/>
                  </w14:solidFill>
                </w14:textFill>
              </w:rPr>
            </w:pPr>
          </w:p>
        </w:tc>
      </w:tr>
      <w:tr w14:paraId="0DC0CB6B">
        <w:tblPrEx>
          <w:tblBorders>
            <w:top w:val="single" w:color="0C0C0C" w:themeColor="text1" w:themeTint="F2" w:sz="12" w:space="0"/>
            <w:left w:val="single" w:color="0C0C0C" w:themeColor="text1" w:themeTint="F2" w:sz="12" w:space="0"/>
            <w:bottom w:val="single" w:color="0C0C0C" w:themeColor="text1" w:themeTint="F2" w:sz="12" w:space="0"/>
            <w:right w:val="single" w:color="0C0C0C" w:themeColor="text1" w:themeTint="F2" w:sz="12" w:space="0"/>
            <w:insideH w:val="single" w:color="0C0C0C" w:themeColor="text1" w:themeTint="F2" w:sz="12" w:space="0"/>
            <w:insideV w:val="single" w:color="0C0C0C" w:themeColor="text1" w:themeTint="F2" w:sz="12" w:space="0"/>
          </w:tblBorders>
          <w:tblCellMar>
            <w:top w:w="0" w:type="dxa"/>
            <w:left w:w="108" w:type="dxa"/>
            <w:bottom w:w="0" w:type="dxa"/>
            <w:right w:w="108" w:type="dxa"/>
          </w:tblCellMar>
        </w:tblPrEx>
        <w:trPr>
          <w:trHeight w:val="300" w:hRule="atLeast"/>
        </w:trPr>
        <w:tc>
          <w:tcPr>
            <w:tcW w:w="4528"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FFFFFF" w:themeFill="background1"/>
            <w:tcMar>
              <w:top w:w="60" w:type="dxa"/>
              <w:left w:w="110" w:type="dxa"/>
              <w:bottom w:w="60" w:type="dxa"/>
              <w:right w:w="110" w:type="dxa"/>
            </w:tcMar>
            <w:vAlign w:val="center"/>
          </w:tcPr>
          <w:p w14:paraId="63E0104A">
            <w:pPr>
              <w:spacing w:after="0"/>
              <w:rPr>
                <w:rFonts w:ascii="Times New Roman" w:hAnsi="Times New Roman" w:eastAsia="Times New Roman" w:cs="Times New Roman"/>
                <w:color w:val="000000" w:themeColor="text1"/>
                <w:sz w:val="20"/>
                <w:szCs w:val="20"/>
                <w14:textFill>
                  <w14:solidFill>
                    <w14:schemeClr w14:val="tx1"/>
                  </w14:solidFill>
                </w14:textFill>
              </w:rPr>
            </w:pPr>
            <w:r>
              <w:rPr>
                <w:rFonts w:ascii="Times New Roman" w:hAnsi="Times New Roman" w:eastAsia="Times New Roman" w:cs="Times New Roman"/>
                <w:color w:val="000000" w:themeColor="text1"/>
                <w:sz w:val="20"/>
                <w:szCs w:val="20"/>
                <w14:textFill>
                  <w14:solidFill>
                    <w14:schemeClr w14:val="tx1"/>
                  </w14:solidFill>
                </w14:textFill>
              </w:rPr>
              <w:t>Mass fraction of water, % max</w:t>
            </w:r>
          </w:p>
        </w:tc>
        <w:tc>
          <w:tcPr>
            <w:tcW w:w="2449"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FFFFFF" w:themeFill="background1"/>
            <w:tcMar>
              <w:top w:w="60" w:type="dxa"/>
              <w:left w:w="110" w:type="dxa"/>
              <w:bottom w:w="60" w:type="dxa"/>
              <w:right w:w="110" w:type="dxa"/>
            </w:tcMar>
            <w:vAlign w:val="center"/>
          </w:tcPr>
          <w:p w14:paraId="4DFD8E42">
            <w:pPr>
              <w:spacing w:after="0"/>
              <w:jc w:val="center"/>
              <w:rPr>
                <w:rFonts w:ascii="Times New Roman" w:hAnsi="Times New Roman" w:eastAsia="Times New Roman" w:cs="Times New Roman"/>
                <w:color w:val="000000" w:themeColor="text1"/>
                <w:sz w:val="20"/>
                <w:szCs w:val="20"/>
                <w14:textFill>
                  <w14:solidFill>
                    <w14:schemeClr w14:val="tx1"/>
                  </w14:solidFill>
                </w14:textFill>
              </w:rPr>
            </w:pPr>
          </w:p>
        </w:tc>
        <w:tc>
          <w:tcPr>
            <w:tcW w:w="2513"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FFFFFF" w:themeFill="background1"/>
            <w:tcMar>
              <w:top w:w="60" w:type="dxa"/>
              <w:left w:w="110" w:type="dxa"/>
              <w:bottom w:w="60" w:type="dxa"/>
              <w:right w:w="110" w:type="dxa"/>
            </w:tcMar>
            <w:vAlign w:val="center"/>
          </w:tcPr>
          <w:p w14:paraId="70FCCE88">
            <w:pPr>
              <w:spacing w:after="0"/>
              <w:jc w:val="center"/>
              <w:rPr>
                <w:rFonts w:ascii="Times New Roman" w:hAnsi="Times New Roman" w:eastAsia="Times New Roman" w:cs="Times New Roman"/>
                <w:color w:val="000000" w:themeColor="text1"/>
                <w:sz w:val="20"/>
                <w:szCs w:val="20"/>
                <w14:textFill>
                  <w14:solidFill>
                    <w14:schemeClr w14:val="tx1"/>
                  </w14:solidFill>
                </w14:textFill>
              </w:rPr>
            </w:pPr>
          </w:p>
        </w:tc>
      </w:tr>
      <w:tr w14:paraId="51F5DA48">
        <w:tblPrEx>
          <w:tblBorders>
            <w:top w:val="single" w:color="0C0C0C" w:themeColor="text1" w:themeTint="F2" w:sz="12" w:space="0"/>
            <w:left w:val="single" w:color="0C0C0C" w:themeColor="text1" w:themeTint="F2" w:sz="12" w:space="0"/>
            <w:bottom w:val="single" w:color="0C0C0C" w:themeColor="text1" w:themeTint="F2" w:sz="12" w:space="0"/>
            <w:right w:val="single" w:color="0C0C0C" w:themeColor="text1" w:themeTint="F2" w:sz="12" w:space="0"/>
            <w:insideH w:val="single" w:color="0C0C0C" w:themeColor="text1" w:themeTint="F2" w:sz="12" w:space="0"/>
            <w:insideV w:val="single" w:color="0C0C0C" w:themeColor="text1" w:themeTint="F2" w:sz="12" w:space="0"/>
          </w:tblBorders>
          <w:tblCellMar>
            <w:top w:w="0" w:type="dxa"/>
            <w:left w:w="108" w:type="dxa"/>
            <w:bottom w:w="0" w:type="dxa"/>
            <w:right w:w="108" w:type="dxa"/>
          </w:tblCellMar>
        </w:tblPrEx>
        <w:trPr>
          <w:trHeight w:val="300" w:hRule="atLeast"/>
        </w:trPr>
        <w:tc>
          <w:tcPr>
            <w:tcW w:w="4528"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D8D8D8" w:themeFill="background1" w:themeFillShade="D9"/>
            <w:tcMar>
              <w:top w:w="60" w:type="dxa"/>
              <w:left w:w="110" w:type="dxa"/>
              <w:bottom w:w="60" w:type="dxa"/>
              <w:right w:w="110" w:type="dxa"/>
            </w:tcMar>
            <w:vAlign w:val="center"/>
          </w:tcPr>
          <w:p w14:paraId="0241A2AB">
            <w:pPr>
              <w:spacing w:after="0"/>
              <w:rPr>
                <w:rFonts w:ascii="Times New Roman" w:hAnsi="Times New Roman" w:eastAsia="Times New Roman" w:cs="Times New Roman"/>
                <w:color w:val="000000" w:themeColor="text1"/>
                <w:sz w:val="20"/>
                <w:szCs w:val="20"/>
                <w14:textFill>
                  <w14:solidFill>
                    <w14:schemeClr w14:val="tx1"/>
                  </w14:solidFill>
                </w14:textFill>
              </w:rPr>
            </w:pPr>
            <w:r>
              <w:rPr>
                <w:rFonts w:ascii="Times New Roman" w:hAnsi="Times New Roman" w:eastAsia="Times New Roman" w:cs="Times New Roman"/>
                <w:color w:val="000000" w:themeColor="text1"/>
                <w:sz w:val="20"/>
                <w:szCs w:val="20"/>
                <w14:textFill>
                  <w14:solidFill>
                    <w14:schemeClr w14:val="tx1"/>
                  </w14:solidFill>
                </w14:textFill>
              </w:rPr>
              <w:t>Mechanical impurities (paper, wood, sand, etc.)</w:t>
            </w:r>
          </w:p>
        </w:tc>
        <w:tc>
          <w:tcPr>
            <w:tcW w:w="2449"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D8D8D8" w:themeFill="background1" w:themeFillShade="D9"/>
            <w:tcMar>
              <w:top w:w="60" w:type="dxa"/>
              <w:left w:w="110" w:type="dxa"/>
              <w:bottom w:w="60" w:type="dxa"/>
              <w:right w:w="110" w:type="dxa"/>
            </w:tcMar>
            <w:vAlign w:val="center"/>
          </w:tcPr>
          <w:p w14:paraId="5CCC9F5E">
            <w:pPr>
              <w:spacing w:after="0"/>
              <w:jc w:val="center"/>
              <w:rPr>
                <w:rFonts w:ascii="Times New Roman" w:hAnsi="Times New Roman" w:eastAsia="Times New Roman" w:cs="Times New Roman"/>
                <w:color w:val="000000" w:themeColor="text1"/>
                <w:sz w:val="20"/>
                <w:szCs w:val="20"/>
                <w14:textFill>
                  <w14:solidFill>
                    <w14:schemeClr w14:val="tx1"/>
                  </w14:solidFill>
                </w14:textFill>
              </w:rPr>
            </w:pPr>
          </w:p>
        </w:tc>
        <w:tc>
          <w:tcPr>
            <w:tcW w:w="2513"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D8D8D8" w:themeFill="background1" w:themeFillShade="D9"/>
            <w:tcMar>
              <w:top w:w="60" w:type="dxa"/>
              <w:left w:w="110" w:type="dxa"/>
              <w:bottom w:w="60" w:type="dxa"/>
              <w:right w:w="110" w:type="dxa"/>
            </w:tcMar>
            <w:vAlign w:val="center"/>
          </w:tcPr>
          <w:p w14:paraId="4A17CD9F">
            <w:pPr>
              <w:spacing w:after="0"/>
              <w:jc w:val="center"/>
              <w:rPr>
                <w:rFonts w:ascii="Times New Roman" w:hAnsi="Times New Roman" w:eastAsia="Times New Roman" w:cs="Times New Roman"/>
                <w:color w:val="000000" w:themeColor="text1"/>
                <w:sz w:val="20"/>
                <w:szCs w:val="20"/>
                <w14:textFill>
                  <w14:solidFill>
                    <w14:schemeClr w14:val="tx1"/>
                  </w14:solidFill>
                </w14:textFill>
              </w:rPr>
            </w:pPr>
          </w:p>
        </w:tc>
      </w:tr>
    </w:tbl>
    <w:p w14:paraId="4F70D6ED">
      <w:pPr>
        <w:pStyle w:val="7"/>
        <w:spacing w:after="0"/>
        <w:ind w:left="900"/>
        <w:jc w:val="both"/>
        <w:rPr>
          <w:rFonts w:ascii="Times New Roman" w:hAnsi="Times New Roman" w:eastAsia="Times New Roman" w:cs="Times New Roman"/>
          <w:color w:val="000000" w:themeColor="text1"/>
          <w:sz w:val="22"/>
          <w:szCs w:val="22"/>
          <w14:textFill>
            <w14:solidFill>
              <w14:schemeClr w14:val="tx1"/>
            </w14:solidFill>
          </w14:textFill>
        </w:rPr>
      </w:pPr>
    </w:p>
    <w:p w14:paraId="45F0733B">
      <w:pPr>
        <w:pStyle w:val="7"/>
        <w:spacing w:after="0"/>
        <w:ind w:left="900"/>
        <w:jc w:val="both"/>
        <w:rPr>
          <w:rFonts w:ascii="Times New Roman" w:hAnsi="Times New Roman" w:eastAsia="Times New Roman" w:cs="Times New Roman"/>
          <w:color w:val="000000" w:themeColor="text1"/>
          <w:sz w:val="22"/>
          <w:szCs w:val="22"/>
          <w:highlight w:val="yellow"/>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 xml:space="preserve">Conclusion: Industrial Granular Sulphur, grade </w:t>
      </w:r>
      <w:r>
        <w:rPr>
          <w:rFonts w:ascii="Times New Roman" w:hAnsi="Times New Roman" w:eastAsia="Times New Roman" w:cs="Times New Roman"/>
          <w:color w:val="000000" w:themeColor="text1"/>
          <w:sz w:val="22"/>
          <w:szCs w:val="22"/>
          <w:highlight w:val="yellow"/>
          <w14:textFill>
            <w14:solidFill>
              <w14:schemeClr w14:val="tx1"/>
            </w14:solidFill>
          </w14:textFill>
        </w:rPr>
        <w:t>[Grade]</w:t>
      </w:r>
      <w:r>
        <w:rPr>
          <w:rFonts w:ascii="Times New Roman" w:hAnsi="Times New Roman" w:eastAsia="Times New Roman" w:cs="Times New Roman"/>
          <w:color w:val="000000" w:themeColor="text1"/>
          <w:sz w:val="22"/>
          <w:szCs w:val="22"/>
          <w14:textFill>
            <w14:solidFill>
              <w14:schemeClr w14:val="tx1"/>
            </w14:solidFill>
          </w14:textFill>
        </w:rPr>
        <w:t xml:space="preserve">, complies with </w:t>
      </w:r>
      <w:r>
        <w:rPr>
          <w:rFonts w:ascii="Times New Roman" w:hAnsi="Times New Roman" w:eastAsia="Times New Roman" w:cs="Times New Roman"/>
          <w:color w:val="000000" w:themeColor="text1"/>
          <w:sz w:val="22"/>
          <w:szCs w:val="22"/>
          <w:highlight w:val="yellow"/>
          <w14:textFill>
            <w14:solidFill>
              <w14:schemeClr w14:val="tx1"/>
            </w14:solidFill>
          </w14:textFill>
        </w:rPr>
        <w:t>[Test Method]</w:t>
      </w:r>
      <w:r>
        <w:rPr>
          <w:rFonts w:ascii="Times New Roman" w:hAnsi="Times New Roman" w:eastAsia="Times New Roman" w:cs="Times New Roman"/>
          <w:color w:val="000000" w:themeColor="text1"/>
          <w:sz w:val="22"/>
          <w:szCs w:val="22"/>
          <w14:textFill>
            <w14:solidFill>
              <w14:schemeClr w14:val="tx1"/>
            </w14:solidFill>
          </w14:textFill>
        </w:rPr>
        <w:t xml:space="preserve">. </w:t>
      </w:r>
    </w:p>
    <w:p w14:paraId="19A1046C">
      <w:pPr>
        <w:pStyle w:val="7"/>
        <w:numPr>
          <w:ilvl w:val="1"/>
          <w:numId w:val="1"/>
        </w:numPr>
        <w:spacing w:after="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 xml:space="preserve">The Sulphur content shall be not less than </w:t>
      </w:r>
      <w:r>
        <w:rPr>
          <w:rFonts w:ascii="Times New Roman" w:hAnsi="Times New Roman" w:eastAsia="Times New Roman" w:cs="Times New Roman"/>
          <w:color w:val="000000" w:themeColor="text1"/>
          <w:sz w:val="22"/>
          <w:szCs w:val="22"/>
          <w:highlight w:val="yellow"/>
          <w14:textFill>
            <w14:solidFill>
              <w14:schemeClr w14:val="tx1"/>
            </w14:solidFill>
          </w14:textFill>
        </w:rPr>
        <w:t>99.9%</w:t>
      </w:r>
      <w:r>
        <w:rPr>
          <w:rFonts w:ascii="Times New Roman" w:hAnsi="Times New Roman" w:eastAsia="Times New Roman" w:cs="Times New Roman"/>
          <w:color w:val="000000" w:themeColor="text1"/>
          <w:sz w:val="22"/>
          <w:szCs w:val="22"/>
          <w14:textFill>
            <w14:solidFill>
              <w14:schemeClr w14:val="tx1"/>
            </w14:solidFill>
          </w14:textFill>
        </w:rPr>
        <w:t xml:space="preserve">. Treatment and price adjustment for content below </w:t>
      </w:r>
      <w:r>
        <w:rPr>
          <w:rFonts w:ascii="Times New Roman" w:hAnsi="Times New Roman" w:eastAsia="Times New Roman" w:cs="Times New Roman"/>
          <w:color w:val="000000" w:themeColor="text1"/>
          <w:sz w:val="22"/>
          <w:szCs w:val="22"/>
          <w:highlight w:val="yellow"/>
          <w14:textFill>
            <w14:solidFill>
              <w14:schemeClr w14:val="tx1"/>
            </w14:solidFill>
          </w14:textFill>
        </w:rPr>
        <w:t>99.9%</w:t>
      </w:r>
      <w:r>
        <w:rPr>
          <w:rFonts w:ascii="Times New Roman" w:hAnsi="Times New Roman" w:eastAsia="Times New Roman" w:cs="Times New Roman"/>
          <w:color w:val="000000" w:themeColor="text1"/>
          <w:sz w:val="22"/>
          <w:szCs w:val="22"/>
          <w14:textFill>
            <w14:solidFill>
              <w14:schemeClr w14:val="tx1"/>
            </w14:solidFill>
          </w14:textFill>
        </w:rPr>
        <w:t xml:space="preserve"> are set out in </w:t>
      </w:r>
      <w:r>
        <w:rPr>
          <w:rFonts w:ascii="Times New Roman" w:hAnsi="Times New Roman" w:eastAsia="Times New Roman" w:cs="Times New Roman"/>
          <w:color w:val="2B2B00"/>
          <w:sz w:val="22"/>
          <w:szCs w:val="22"/>
        </w:rPr>
        <w:t xml:space="preserve">Article 9. All </w:t>
      </w:r>
      <w:r>
        <w:rPr>
          <w:rFonts w:ascii="Times New Roman" w:hAnsi="Times New Roman" w:eastAsia="Times New Roman" w:cs="Times New Roman"/>
          <w:color w:val="000000" w:themeColor="text1"/>
          <w:sz w:val="22"/>
          <w:szCs w:val="22"/>
          <w14:textFill>
            <w14:solidFill>
              <w14:schemeClr w14:val="tx1"/>
            </w14:solidFill>
          </w14:textFill>
        </w:rPr>
        <w:t>indicators are stated on a dry basis.</w:t>
      </w:r>
    </w:p>
    <w:p w14:paraId="62F67AB4">
      <w:pPr>
        <w:pStyle w:val="7"/>
        <w:spacing w:after="0"/>
        <w:ind w:left="936"/>
        <w:jc w:val="both"/>
        <w:rPr>
          <w:rFonts w:ascii="Times New Roman" w:hAnsi="Times New Roman" w:eastAsia="Times New Roman" w:cs="Times New Roman"/>
          <w:color w:val="000000" w:themeColor="text1"/>
          <w:sz w:val="22"/>
          <w:szCs w:val="22"/>
          <w14:textFill>
            <w14:solidFill>
              <w14:schemeClr w14:val="tx1"/>
            </w14:solidFill>
          </w14:textFill>
        </w:rPr>
      </w:pPr>
    </w:p>
    <w:p w14:paraId="6D34D136">
      <w:pPr>
        <w:pStyle w:val="7"/>
        <w:numPr>
          <w:ilvl w:val="0"/>
          <w:numId w:val="2"/>
        </w:numPr>
        <w:spacing w:after="0"/>
        <w:ind w:left="360" w:leftChars="0" w:hanging="360" w:firstLineChars="0"/>
        <w:jc w:val="both"/>
        <w:rPr>
          <w:rFonts w:ascii="Times New Roman" w:hAnsi="Times New Roman" w:eastAsia="Times New Roman" w:cs="Times New Roman"/>
          <w:b/>
          <w:bCs/>
          <w:color w:val="000000" w:themeColor="text1"/>
          <w:sz w:val="22"/>
          <w:szCs w:val="22"/>
          <w14:textFill>
            <w14:solidFill>
              <w14:schemeClr w14:val="tx1"/>
            </w14:solidFill>
          </w14:textFill>
        </w:rPr>
      </w:pPr>
      <w:r>
        <w:rPr>
          <w:rFonts w:hint="eastAsia" w:ascii="Times New Roman" w:hAnsi="Times New Roman" w:eastAsia="微软雅黑" w:cs="Times New Roman"/>
          <w:b/>
          <w:bCs/>
          <w:color w:val="000000" w:themeColor="text1"/>
          <w:sz w:val="22"/>
          <w:szCs w:val="22"/>
          <w:lang w:val="en-US" w:eastAsia="zh-CN" w:bidi="ar-SA"/>
          <w14:textFill>
            <w14:solidFill>
              <w14:schemeClr w14:val="tx1"/>
            </w14:solidFill>
          </w14:textFill>
        </w:rPr>
        <w:t>规格</w:t>
      </w:r>
    </w:p>
    <w:p w14:paraId="5E7F8F1E">
      <w:pPr>
        <w:pStyle w:val="7"/>
        <w:numPr>
          <w:ilvl w:val="1"/>
          <w:numId w:val="2"/>
        </w:numPr>
        <w:spacing w:after="0"/>
        <w:ind w:left="900" w:leftChars="0" w:hanging="360" w:firstLineChars="0"/>
        <w:jc w:val="both"/>
        <w:rPr>
          <w:rFonts w:ascii="Times New Roman" w:hAnsi="Times New Roman" w:eastAsia="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交付货物应符合下表所列的技术指标：</w:t>
      </w:r>
    </w:p>
    <w:tbl>
      <w:tblPr>
        <w:tblStyle w:val="5"/>
        <w:tblW w:w="0" w:type="auto"/>
        <w:tblInd w:w="0" w:type="dxa"/>
        <w:tblBorders>
          <w:top w:val="single" w:color="0C0C0C" w:themeColor="text1" w:themeTint="F2" w:sz="12" w:space="0"/>
          <w:left w:val="single" w:color="0C0C0C" w:themeColor="text1" w:themeTint="F2" w:sz="12" w:space="0"/>
          <w:bottom w:val="single" w:color="0C0C0C" w:themeColor="text1" w:themeTint="F2" w:sz="12" w:space="0"/>
          <w:right w:val="single" w:color="0C0C0C" w:themeColor="text1" w:themeTint="F2" w:sz="12" w:space="0"/>
          <w:insideH w:val="single" w:color="0C0C0C" w:themeColor="text1" w:themeTint="F2" w:sz="12" w:space="0"/>
          <w:insideV w:val="single" w:color="0C0C0C" w:themeColor="text1" w:themeTint="F2" w:sz="12" w:space="0"/>
        </w:tblBorders>
        <w:tblLayout w:type="autofit"/>
        <w:tblCellMar>
          <w:top w:w="0" w:type="dxa"/>
          <w:left w:w="108" w:type="dxa"/>
          <w:bottom w:w="0" w:type="dxa"/>
          <w:right w:w="108" w:type="dxa"/>
        </w:tblCellMar>
      </w:tblPr>
      <w:tblGrid>
        <w:gridCol w:w="4065"/>
        <w:gridCol w:w="2206"/>
        <w:gridCol w:w="2255"/>
      </w:tblGrid>
      <w:tr w14:paraId="5CBB2E77">
        <w:tblPrEx>
          <w:tblBorders>
            <w:top w:val="single" w:color="0C0C0C" w:themeColor="text1" w:themeTint="F2" w:sz="12" w:space="0"/>
            <w:left w:val="single" w:color="0C0C0C" w:themeColor="text1" w:themeTint="F2" w:sz="12" w:space="0"/>
            <w:bottom w:val="single" w:color="0C0C0C" w:themeColor="text1" w:themeTint="F2" w:sz="12" w:space="0"/>
            <w:right w:val="single" w:color="0C0C0C" w:themeColor="text1" w:themeTint="F2" w:sz="12" w:space="0"/>
            <w:insideH w:val="single" w:color="0C0C0C" w:themeColor="text1" w:themeTint="F2" w:sz="12" w:space="0"/>
            <w:insideV w:val="single" w:color="0C0C0C" w:themeColor="text1" w:themeTint="F2" w:sz="12" w:space="0"/>
          </w:tblBorders>
          <w:tblCellMar>
            <w:top w:w="0" w:type="dxa"/>
            <w:left w:w="108" w:type="dxa"/>
            <w:bottom w:w="0" w:type="dxa"/>
            <w:right w:w="108" w:type="dxa"/>
          </w:tblCellMar>
        </w:tblPrEx>
        <w:trPr>
          <w:trHeight w:val="300" w:hRule="atLeast"/>
        </w:trPr>
        <w:tc>
          <w:tcPr>
            <w:tcW w:w="4528"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252525" w:themeFill="text1" w:themeFillTint="D9"/>
            <w:tcMar>
              <w:top w:w="60" w:type="dxa"/>
              <w:left w:w="110" w:type="dxa"/>
              <w:bottom w:w="60" w:type="dxa"/>
              <w:right w:w="110" w:type="dxa"/>
            </w:tcMar>
            <w:vAlign w:val="center"/>
          </w:tcPr>
          <w:p w14:paraId="35417055">
            <w:pPr>
              <w:spacing w:after="0"/>
              <w:rPr>
                <w:rFonts w:hint="eastAsia" w:ascii="Times New Roman" w:hAnsi="Times New Roman" w:eastAsia="宋体" w:cs="Times New Roman"/>
                <w:b/>
                <w:bCs/>
                <w:color w:val="FFFFFF" w:themeColor="background1"/>
                <w:sz w:val="20"/>
                <w:szCs w:val="20"/>
                <w:lang w:eastAsia="zh-CN"/>
                <w14:textFill>
                  <w14:solidFill>
                    <w14:schemeClr w14:val="bg1"/>
                  </w14:solidFill>
                </w14:textFill>
              </w:rPr>
            </w:pPr>
            <w:r>
              <w:rPr>
                <w:rFonts w:hint="eastAsia" w:ascii="Times New Roman" w:hAnsi="Times New Roman" w:eastAsia="微软雅黑" w:cs="Times New Roman"/>
                <w:b/>
                <w:bCs/>
                <w:color w:val="FFFFFF" w:themeColor="background1"/>
                <w:sz w:val="20"/>
                <w:szCs w:val="20"/>
                <w:lang w:val="en-US" w:eastAsia="zh-CN" w:bidi="ar-SA"/>
                <w14:textFill>
                  <w14:solidFill>
                    <w14:schemeClr w14:val="bg1"/>
                  </w14:solidFill>
                </w14:textFill>
              </w:rPr>
              <w:t>参数</w:t>
            </w:r>
          </w:p>
        </w:tc>
        <w:tc>
          <w:tcPr>
            <w:tcW w:w="2449"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252525" w:themeFill="text1" w:themeFillTint="D9"/>
            <w:tcMar>
              <w:top w:w="60" w:type="dxa"/>
              <w:left w:w="110" w:type="dxa"/>
              <w:bottom w:w="60" w:type="dxa"/>
              <w:right w:w="110" w:type="dxa"/>
            </w:tcMar>
            <w:vAlign w:val="center"/>
          </w:tcPr>
          <w:p w14:paraId="018676C6">
            <w:pPr>
              <w:spacing w:after="0"/>
              <w:jc w:val="center"/>
              <w:rPr>
                <w:rFonts w:hint="eastAsia" w:ascii="Times New Roman" w:hAnsi="Times New Roman" w:eastAsia="宋体" w:cs="Times New Roman"/>
                <w:b/>
                <w:bCs/>
                <w:color w:val="FFFFFF" w:themeColor="background1"/>
                <w:sz w:val="20"/>
                <w:szCs w:val="20"/>
                <w:lang w:eastAsia="zh-CN"/>
                <w14:textFill>
                  <w14:solidFill>
                    <w14:schemeClr w14:val="bg1"/>
                  </w14:solidFill>
                </w14:textFill>
              </w:rPr>
            </w:pPr>
            <w:r>
              <w:rPr>
                <w:rFonts w:hint="eastAsia" w:ascii="Times New Roman" w:hAnsi="Times New Roman" w:eastAsia="微软雅黑" w:cs="Times New Roman"/>
                <w:b/>
                <w:bCs/>
                <w:color w:val="FFFFFF" w:themeColor="background1"/>
                <w:sz w:val="20"/>
                <w:szCs w:val="20"/>
                <w:lang w:val="en-US" w:eastAsia="zh-CN" w:bidi="ar-SA"/>
                <w14:textFill>
                  <w14:solidFill>
                    <w14:schemeClr w14:val="bg1"/>
                  </w14:solidFill>
                </w14:textFill>
              </w:rPr>
              <w:t>规格</w:t>
            </w:r>
          </w:p>
        </w:tc>
        <w:tc>
          <w:tcPr>
            <w:tcW w:w="2513"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252525" w:themeFill="text1" w:themeFillTint="D9"/>
            <w:tcMar>
              <w:top w:w="60" w:type="dxa"/>
              <w:left w:w="110" w:type="dxa"/>
              <w:bottom w:w="60" w:type="dxa"/>
              <w:right w:w="110" w:type="dxa"/>
            </w:tcMar>
            <w:vAlign w:val="center"/>
          </w:tcPr>
          <w:p w14:paraId="19579B1E">
            <w:pPr>
              <w:spacing w:after="0"/>
              <w:jc w:val="center"/>
              <w:rPr>
                <w:rFonts w:hint="eastAsia" w:ascii="Times New Roman" w:hAnsi="Times New Roman" w:eastAsia="宋体" w:cs="Times New Roman"/>
                <w:b/>
                <w:bCs/>
                <w:color w:val="FFFFFF" w:themeColor="background1"/>
                <w:sz w:val="20"/>
                <w:szCs w:val="20"/>
                <w:lang w:eastAsia="zh-CN"/>
                <w14:textFill>
                  <w14:solidFill>
                    <w14:schemeClr w14:val="bg1"/>
                  </w14:solidFill>
                </w14:textFill>
              </w:rPr>
            </w:pPr>
            <w:r>
              <w:rPr>
                <w:rFonts w:hint="eastAsia" w:ascii="Times New Roman" w:hAnsi="Times New Roman" w:eastAsia="微软雅黑" w:cs="Times New Roman"/>
                <w:b/>
                <w:bCs/>
                <w:color w:val="FFFFFF" w:themeColor="background1"/>
                <w:sz w:val="20"/>
                <w:szCs w:val="20"/>
                <w:lang w:val="en-US" w:eastAsia="zh-CN" w:bidi="ar-SA"/>
                <w14:textFill>
                  <w14:solidFill>
                    <w14:schemeClr w14:val="bg1"/>
                  </w14:solidFill>
                </w14:textFill>
              </w:rPr>
              <w:t>测试方法</w:t>
            </w:r>
          </w:p>
        </w:tc>
      </w:tr>
      <w:tr w14:paraId="186C354E">
        <w:tblPrEx>
          <w:tblBorders>
            <w:top w:val="single" w:color="0C0C0C" w:themeColor="text1" w:themeTint="F2" w:sz="12" w:space="0"/>
            <w:left w:val="single" w:color="0C0C0C" w:themeColor="text1" w:themeTint="F2" w:sz="12" w:space="0"/>
            <w:bottom w:val="single" w:color="0C0C0C" w:themeColor="text1" w:themeTint="F2" w:sz="12" w:space="0"/>
            <w:right w:val="single" w:color="0C0C0C" w:themeColor="text1" w:themeTint="F2" w:sz="12" w:space="0"/>
            <w:insideH w:val="single" w:color="0C0C0C" w:themeColor="text1" w:themeTint="F2" w:sz="12" w:space="0"/>
            <w:insideV w:val="single" w:color="0C0C0C" w:themeColor="text1" w:themeTint="F2" w:sz="12" w:space="0"/>
          </w:tblBorders>
          <w:tblCellMar>
            <w:top w:w="0" w:type="dxa"/>
            <w:left w:w="108" w:type="dxa"/>
            <w:bottom w:w="0" w:type="dxa"/>
            <w:right w:w="108" w:type="dxa"/>
          </w:tblCellMar>
        </w:tblPrEx>
        <w:trPr>
          <w:trHeight w:val="425" w:hRule="atLeast"/>
        </w:trPr>
        <w:tc>
          <w:tcPr>
            <w:tcW w:w="4528"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FFFFFF" w:themeFill="background1"/>
            <w:tcMar>
              <w:top w:w="60" w:type="dxa"/>
              <w:left w:w="110" w:type="dxa"/>
              <w:bottom w:w="60" w:type="dxa"/>
              <w:right w:w="110" w:type="dxa"/>
            </w:tcMar>
            <w:vAlign w:val="center"/>
          </w:tcPr>
          <w:p w14:paraId="67974D93">
            <w:pPr>
              <w:spacing w:after="0"/>
              <w:rPr>
                <w:rFonts w:hint="eastAsia" w:ascii="Times New Roman" w:hAnsi="Times New Roman" w:eastAsia="宋体" w:cs="Times New Roman"/>
                <w:color w:val="000000" w:themeColor="text1"/>
                <w:sz w:val="20"/>
                <w:szCs w:val="20"/>
                <w:lang w:eastAsia="zh-CN"/>
                <w14:textFill>
                  <w14:solidFill>
                    <w14:schemeClr w14:val="tx1"/>
                  </w14:solidFill>
                </w14:textFill>
              </w:rPr>
            </w:pPr>
            <w:r>
              <w:rPr>
                <w:rFonts w:hint="eastAsia" w:ascii="Times New Roman" w:hAnsi="Times New Roman" w:eastAsia="微软雅黑" w:cs="Times New Roman"/>
                <w:color w:val="000000" w:themeColor="text1"/>
                <w:sz w:val="20"/>
                <w:szCs w:val="20"/>
                <w:lang w:val="en-US" w:eastAsia="zh-CN" w:bidi="ar-SA"/>
                <w14:textFill>
                  <w14:solidFill>
                    <w14:schemeClr w14:val="tx1"/>
                  </w14:solidFill>
                </w14:textFill>
              </w:rPr>
              <w:t>硫的质量分数（%）</w:t>
            </w:r>
          </w:p>
        </w:tc>
        <w:tc>
          <w:tcPr>
            <w:tcW w:w="2449"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FFFFFF" w:themeFill="background1"/>
            <w:tcMar>
              <w:top w:w="60" w:type="dxa"/>
              <w:left w:w="110" w:type="dxa"/>
              <w:bottom w:w="60" w:type="dxa"/>
              <w:right w:w="110" w:type="dxa"/>
            </w:tcMar>
            <w:vAlign w:val="center"/>
          </w:tcPr>
          <w:p w14:paraId="4467F59F">
            <w:pPr>
              <w:spacing w:after="0"/>
              <w:jc w:val="center"/>
              <w:rPr>
                <w:rFonts w:hint="eastAsia" w:ascii="Times New Roman" w:hAnsi="Times New Roman" w:eastAsia="宋体" w:cs="Times New Roman"/>
                <w:color w:val="000000" w:themeColor="text1"/>
                <w:sz w:val="20"/>
                <w:szCs w:val="20"/>
                <w:highlight w:val="yellow"/>
                <w:lang w:eastAsia="zh-CN"/>
                <w14:textFill>
                  <w14:solidFill>
                    <w14:schemeClr w14:val="tx1"/>
                  </w14:solidFill>
                </w14:textFill>
              </w:rPr>
            </w:pPr>
            <w:r>
              <w:rPr>
                <w:rFonts w:hint="eastAsia" w:ascii="Times New Roman" w:hAnsi="Times New Roman" w:eastAsia="微软雅黑" w:cs="Times New Roman"/>
                <w:color w:val="000000" w:themeColor="text1"/>
                <w:sz w:val="20"/>
                <w:szCs w:val="20"/>
                <w:highlight w:val="yellow"/>
                <w:lang w:val="en-US" w:eastAsia="zh-CN" w:bidi="ar-SA"/>
                <w14:textFill>
                  <w14:solidFill>
                    <w14:schemeClr w14:val="tx1"/>
                  </w14:solidFill>
                </w14:textFill>
              </w:rPr>
              <w:t>[纯度]</w:t>
            </w:r>
          </w:p>
        </w:tc>
        <w:tc>
          <w:tcPr>
            <w:tcW w:w="2513"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FFFFFF" w:themeFill="background1"/>
            <w:tcMar>
              <w:top w:w="60" w:type="dxa"/>
              <w:left w:w="110" w:type="dxa"/>
              <w:bottom w:w="60" w:type="dxa"/>
              <w:right w:w="110" w:type="dxa"/>
            </w:tcMar>
            <w:vAlign w:val="center"/>
          </w:tcPr>
          <w:p w14:paraId="7C77C85E">
            <w:pPr>
              <w:spacing w:after="0"/>
              <w:jc w:val="center"/>
              <w:rPr>
                <w:rFonts w:ascii="Times New Roman" w:hAnsi="Times New Roman" w:eastAsia="Times New Roman" w:cs="Times New Roman"/>
                <w:color w:val="000000" w:themeColor="text1"/>
                <w:sz w:val="20"/>
                <w:szCs w:val="20"/>
                <w14:textFill>
                  <w14:solidFill>
                    <w14:schemeClr w14:val="tx1"/>
                  </w14:solidFill>
                </w14:textFill>
              </w:rPr>
            </w:pPr>
          </w:p>
        </w:tc>
      </w:tr>
      <w:tr w14:paraId="6FAD3CDF">
        <w:tblPrEx>
          <w:tblBorders>
            <w:top w:val="single" w:color="0C0C0C" w:themeColor="text1" w:themeTint="F2" w:sz="12" w:space="0"/>
            <w:left w:val="single" w:color="0C0C0C" w:themeColor="text1" w:themeTint="F2" w:sz="12" w:space="0"/>
            <w:bottom w:val="single" w:color="0C0C0C" w:themeColor="text1" w:themeTint="F2" w:sz="12" w:space="0"/>
            <w:right w:val="single" w:color="0C0C0C" w:themeColor="text1" w:themeTint="F2" w:sz="12" w:space="0"/>
            <w:insideH w:val="single" w:color="0C0C0C" w:themeColor="text1" w:themeTint="F2" w:sz="12" w:space="0"/>
            <w:insideV w:val="single" w:color="0C0C0C" w:themeColor="text1" w:themeTint="F2" w:sz="12" w:space="0"/>
          </w:tblBorders>
          <w:tblCellMar>
            <w:top w:w="0" w:type="dxa"/>
            <w:left w:w="108" w:type="dxa"/>
            <w:bottom w:w="0" w:type="dxa"/>
            <w:right w:w="108" w:type="dxa"/>
          </w:tblCellMar>
        </w:tblPrEx>
        <w:trPr>
          <w:trHeight w:val="300" w:hRule="atLeast"/>
        </w:trPr>
        <w:tc>
          <w:tcPr>
            <w:tcW w:w="4528"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D8D8D8" w:themeFill="background1" w:themeFillShade="D9"/>
            <w:tcMar>
              <w:top w:w="60" w:type="dxa"/>
              <w:left w:w="110" w:type="dxa"/>
              <w:bottom w:w="60" w:type="dxa"/>
              <w:right w:w="110" w:type="dxa"/>
            </w:tcMar>
            <w:vAlign w:val="center"/>
          </w:tcPr>
          <w:p w14:paraId="1605A1CD">
            <w:pPr>
              <w:spacing w:after="0"/>
              <w:rPr>
                <w:rFonts w:hint="eastAsia" w:ascii="Times New Roman" w:hAnsi="Times New Roman" w:eastAsia="宋体" w:cs="Times New Roman"/>
                <w:color w:val="000000" w:themeColor="text1"/>
                <w:sz w:val="20"/>
                <w:szCs w:val="20"/>
                <w:lang w:eastAsia="zh-CN"/>
                <w14:textFill>
                  <w14:solidFill>
                    <w14:schemeClr w14:val="tx1"/>
                  </w14:solidFill>
                </w14:textFill>
              </w:rPr>
            </w:pPr>
            <w:r>
              <w:rPr>
                <w:rFonts w:hint="eastAsia" w:ascii="Times New Roman" w:hAnsi="Times New Roman" w:eastAsia="微软雅黑" w:cs="Times New Roman"/>
                <w:color w:val="000000" w:themeColor="text1"/>
                <w:sz w:val="20"/>
                <w:szCs w:val="20"/>
                <w:lang w:val="en-US" w:eastAsia="zh-CN" w:bidi="ar-SA"/>
                <w14:textFill>
                  <w14:solidFill>
                    <w14:schemeClr w14:val="tx1"/>
                  </w14:solidFill>
                </w14:textFill>
              </w:rPr>
              <w:t>灰分质量分数（最大值）%</w:t>
            </w:r>
          </w:p>
        </w:tc>
        <w:tc>
          <w:tcPr>
            <w:tcW w:w="2449"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D8D8D8" w:themeFill="background1" w:themeFillShade="D9"/>
            <w:tcMar>
              <w:top w:w="60" w:type="dxa"/>
              <w:left w:w="110" w:type="dxa"/>
              <w:bottom w:w="60" w:type="dxa"/>
              <w:right w:w="110" w:type="dxa"/>
            </w:tcMar>
            <w:vAlign w:val="center"/>
          </w:tcPr>
          <w:p w14:paraId="04D7EB6F">
            <w:pPr>
              <w:spacing w:after="0"/>
              <w:jc w:val="center"/>
              <w:rPr>
                <w:rFonts w:ascii="Times New Roman" w:hAnsi="Times New Roman" w:eastAsia="Times New Roman" w:cs="Times New Roman"/>
                <w:color w:val="000000" w:themeColor="text1"/>
                <w:sz w:val="20"/>
                <w:szCs w:val="20"/>
                <w14:textFill>
                  <w14:solidFill>
                    <w14:schemeClr w14:val="tx1"/>
                  </w14:solidFill>
                </w14:textFill>
              </w:rPr>
            </w:pPr>
          </w:p>
        </w:tc>
        <w:tc>
          <w:tcPr>
            <w:tcW w:w="2513"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D8D8D8" w:themeFill="background1" w:themeFillShade="D9"/>
            <w:tcMar>
              <w:top w:w="60" w:type="dxa"/>
              <w:left w:w="110" w:type="dxa"/>
              <w:bottom w:w="60" w:type="dxa"/>
              <w:right w:w="110" w:type="dxa"/>
            </w:tcMar>
            <w:vAlign w:val="center"/>
          </w:tcPr>
          <w:p w14:paraId="4E705143">
            <w:pPr>
              <w:spacing w:after="0"/>
              <w:jc w:val="center"/>
              <w:rPr>
                <w:rFonts w:ascii="Times New Roman" w:hAnsi="Times New Roman" w:eastAsia="Times New Roman" w:cs="Times New Roman"/>
                <w:color w:val="000000" w:themeColor="text1"/>
                <w:sz w:val="20"/>
                <w:szCs w:val="20"/>
                <w14:textFill>
                  <w14:solidFill>
                    <w14:schemeClr w14:val="tx1"/>
                  </w14:solidFill>
                </w14:textFill>
              </w:rPr>
            </w:pPr>
          </w:p>
        </w:tc>
      </w:tr>
      <w:tr w14:paraId="161183B2">
        <w:tblPrEx>
          <w:tblBorders>
            <w:top w:val="single" w:color="0C0C0C" w:themeColor="text1" w:themeTint="F2" w:sz="12" w:space="0"/>
            <w:left w:val="single" w:color="0C0C0C" w:themeColor="text1" w:themeTint="F2" w:sz="12" w:space="0"/>
            <w:bottom w:val="single" w:color="0C0C0C" w:themeColor="text1" w:themeTint="F2" w:sz="12" w:space="0"/>
            <w:right w:val="single" w:color="0C0C0C" w:themeColor="text1" w:themeTint="F2" w:sz="12" w:space="0"/>
            <w:insideH w:val="single" w:color="0C0C0C" w:themeColor="text1" w:themeTint="F2" w:sz="12" w:space="0"/>
            <w:insideV w:val="single" w:color="0C0C0C" w:themeColor="text1" w:themeTint="F2" w:sz="12" w:space="0"/>
          </w:tblBorders>
          <w:tblCellMar>
            <w:top w:w="0" w:type="dxa"/>
            <w:left w:w="108" w:type="dxa"/>
            <w:bottom w:w="0" w:type="dxa"/>
            <w:right w:w="108" w:type="dxa"/>
          </w:tblCellMar>
        </w:tblPrEx>
        <w:trPr>
          <w:trHeight w:val="300" w:hRule="atLeast"/>
        </w:trPr>
        <w:tc>
          <w:tcPr>
            <w:tcW w:w="4528"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FFFFFF" w:themeFill="background1"/>
            <w:tcMar>
              <w:top w:w="60" w:type="dxa"/>
              <w:left w:w="110" w:type="dxa"/>
              <w:bottom w:w="60" w:type="dxa"/>
              <w:right w:w="110" w:type="dxa"/>
            </w:tcMar>
            <w:vAlign w:val="center"/>
          </w:tcPr>
          <w:p w14:paraId="784212A8">
            <w:pPr>
              <w:spacing w:after="0"/>
              <w:rPr>
                <w:rFonts w:hint="eastAsia" w:ascii="Times New Roman" w:hAnsi="Times New Roman" w:eastAsia="宋体" w:cs="Times New Roman"/>
                <w:color w:val="000000" w:themeColor="text1"/>
                <w:sz w:val="20"/>
                <w:szCs w:val="20"/>
                <w:lang w:eastAsia="zh-CN"/>
                <w14:textFill>
                  <w14:solidFill>
                    <w14:schemeClr w14:val="tx1"/>
                  </w14:solidFill>
                </w14:textFill>
              </w:rPr>
            </w:pPr>
            <w:r>
              <w:rPr>
                <w:rFonts w:hint="eastAsia" w:ascii="Times New Roman" w:hAnsi="Times New Roman" w:eastAsia="微软雅黑" w:cs="Times New Roman"/>
                <w:color w:val="000000" w:themeColor="text1"/>
                <w:sz w:val="20"/>
                <w:szCs w:val="20"/>
                <w:lang w:val="en-US" w:eastAsia="zh-CN" w:bidi="ar-SA"/>
                <w14:textFill>
                  <w14:solidFill>
                    <w14:schemeClr w14:val="tx1"/>
                  </w14:solidFill>
                </w14:textFill>
              </w:rPr>
              <w:t>有机物质的质量分数（% 最大值）</w:t>
            </w:r>
          </w:p>
        </w:tc>
        <w:tc>
          <w:tcPr>
            <w:tcW w:w="2449"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FFFFFF" w:themeFill="background1"/>
            <w:tcMar>
              <w:top w:w="60" w:type="dxa"/>
              <w:left w:w="110" w:type="dxa"/>
              <w:bottom w:w="60" w:type="dxa"/>
              <w:right w:w="110" w:type="dxa"/>
            </w:tcMar>
            <w:vAlign w:val="center"/>
          </w:tcPr>
          <w:p w14:paraId="096185B3">
            <w:pPr>
              <w:spacing w:after="0"/>
              <w:jc w:val="center"/>
              <w:rPr>
                <w:rFonts w:ascii="Times New Roman" w:hAnsi="Times New Roman" w:eastAsia="Times New Roman" w:cs="Times New Roman"/>
                <w:color w:val="000000" w:themeColor="text1"/>
                <w:sz w:val="20"/>
                <w:szCs w:val="20"/>
                <w14:textFill>
                  <w14:solidFill>
                    <w14:schemeClr w14:val="tx1"/>
                  </w14:solidFill>
                </w14:textFill>
              </w:rPr>
            </w:pPr>
          </w:p>
        </w:tc>
        <w:tc>
          <w:tcPr>
            <w:tcW w:w="2513"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FFFFFF" w:themeFill="background1"/>
            <w:tcMar>
              <w:top w:w="60" w:type="dxa"/>
              <w:left w:w="110" w:type="dxa"/>
              <w:bottom w:w="60" w:type="dxa"/>
              <w:right w:w="110" w:type="dxa"/>
            </w:tcMar>
            <w:vAlign w:val="center"/>
          </w:tcPr>
          <w:p w14:paraId="529C9719">
            <w:pPr>
              <w:spacing w:after="0"/>
              <w:jc w:val="center"/>
              <w:rPr>
                <w:rFonts w:ascii="Times New Roman" w:hAnsi="Times New Roman" w:eastAsia="Times New Roman" w:cs="Times New Roman"/>
                <w:color w:val="000000" w:themeColor="text1"/>
                <w:sz w:val="20"/>
                <w:szCs w:val="20"/>
                <w14:textFill>
                  <w14:solidFill>
                    <w14:schemeClr w14:val="tx1"/>
                  </w14:solidFill>
                </w14:textFill>
              </w:rPr>
            </w:pPr>
          </w:p>
        </w:tc>
      </w:tr>
      <w:tr w14:paraId="7383396F">
        <w:tblPrEx>
          <w:tblBorders>
            <w:top w:val="single" w:color="0C0C0C" w:themeColor="text1" w:themeTint="F2" w:sz="12" w:space="0"/>
            <w:left w:val="single" w:color="0C0C0C" w:themeColor="text1" w:themeTint="F2" w:sz="12" w:space="0"/>
            <w:bottom w:val="single" w:color="0C0C0C" w:themeColor="text1" w:themeTint="F2" w:sz="12" w:space="0"/>
            <w:right w:val="single" w:color="0C0C0C" w:themeColor="text1" w:themeTint="F2" w:sz="12" w:space="0"/>
            <w:insideH w:val="single" w:color="0C0C0C" w:themeColor="text1" w:themeTint="F2" w:sz="12" w:space="0"/>
            <w:insideV w:val="single" w:color="0C0C0C" w:themeColor="text1" w:themeTint="F2" w:sz="12" w:space="0"/>
          </w:tblBorders>
          <w:tblCellMar>
            <w:top w:w="0" w:type="dxa"/>
            <w:left w:w="108" w:type="dxa"/>
            <w:bottom w:w="0" w:type="dxa"/>
            <w:right w:w="108" w:type="dxa"/>
          </w:tblCellMar>
        </w:tblPrEx>
        <w:trPr>
          <w:trHeight w:val="300" w:hRule="atLeast"/>
        </w:trPr>
        <w:tc>
          <w:tcPr>
            <w:tcW w:w="4528"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D8D8D8" w:themeFill="background1" w:themeFillShade="D9"/>
            <w:tcMar>
              <w:top w:w="60" w:type="dxa"/>
              <w:left w:w="110" w:type="dxa"/>
              <w:bottom w:w="60" w:type="dxa"/>
              <w:right w:w="110" w:type="dxa"/>
            </w:tcMar>
            <w:vAlign w:val="center"/>
          </w:tcPr>
          <w:p w14:paraId="6BC1EC6F">
            <w:pPr>
              <w:spacing w:after="0"/>
              <w:rPr>
                <w:rFonts w:hint="eastAsia" w:ascii="Times New Roman" w:hAnsi="Times New Roman" w:eastAsia="宋体" w:cs="Times New Roman"/>
                <w:color w:val="000000" w:themeColor="text1"/>
                <w:sz w:val="20"/>
                <w:szCs w:val="20"/>
                <w:lang w:eastAsia="zh-CN"/>
                <w14:textFill>
                  <w14:solidFill>
                    <w14:schemeClr w14:val="tx1"/>
                  </w14:solidFill>
                </w14:textFill>
              </w:rPr>
            </w:pPr>
            <w:r>
              <w:rPr>
                <w:rFonts w:hint="eastAsia" w:ascii="Times New Roman" w:hAnsi="Times New Roman" w:eastAsia="微软雅黑" w:cs="Times New Roman"/>
                <w:color w:val="000000" w:themeColor="text1"/>
                <w:sz w:val="20"/>
                <w:szCs w:val="20"/>
                <w:lang w:val="en-US" w:eastAsia="zh-CN" w:bidi="ar-SA"/>
                <w14:textFill>
                  <w14:solidFill>
                    <w14:schemeClr w14:val="tx1"/>
                  </w14:solidFill>
                </w14:textFill>
              </w:rPr>
              <w:t>以硫酸计的酸质量分数（%）</w:t>
            </w:r>
          </w:p>
        </w:tc>
        <w:tc>
          <w:tcPr>
            <w:tcW w:w="2449"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D8D8D8" w:themeFill="background1" w:themeFillShade="D9"/>
            <w:tcMar>
              <w:top w:w="60" w:type="dxa"/>
              <w:left w:w="110" w:type="dxa"/>
              <w:bottom w:w="60" w:type="dxa"/>
              <w:right w:w="110" w:type="dxa"/>
            </w:tcMar>
            <w:vAlign w:val="center"/>
          </w:tcPr>
          <w:p w14:paraId="199124F7">
            <w:pPr>
              <w:spacing w:after="0"/>
              <w:jc w:val="center"/>
              <w:rPr>
                <w:rFonts w:ascii="Times New Roman" w:hAnsi="Times New Roman" w:eastAsia="Times New Roman" w:cs="Times New Roman"/>
                <w:color w:val="000000" w:themeColor="text1"/>
                <w:sz w:val="20"/>
                <w:szCs w:val="20"/>
                <w14:textFill>
                  <w14:solidFill>
                    <w14:schemeClr w14:val="tx1"/>
                  </w14:solidFill>
                </w14:textFill>
              </w:rPr>
            </w:pPr>
          </w:p>
        </w:tc>
        <w:tc>
          <w:tcPr>
            <w:tcW w:w="2513"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D8D8D8" w:themeFill="background1" w:themeFillShade="D9"/>
            <w:tcMar>
              <w:top w:w="60" w:type="dxa"/>
              <w:left w:w="110" w:type="dxa"/>
              <w:bottom w:w="60" w:type="dxa"/>
              <w:right w:w="110" w:type="dxa"/>
            </w:tcMar>
            <w:vAlign w:val="center"/>
          </w:tcPr>
          <w:p w14:paraId="083F8480">
            <w:pPr>
              <w:spacing w:after="0"/>
              <w:jc w:val="center"/>
              <w:rPr>
                <w:rFonts w:ascii="Times New Roman" w:hAnsi="Times New Roman" w:eastAsia="Times New Roman" w:cs="Times New Roman"/>
                <w:color w:val="000000" w:themeColor="text1"/>
                <w:sz w:val="20"/>
                <w:szCs w:val="20"/>
                <w14:textFill>
                  <w14:solidFill>
                    <w14:schemeClr w14:val="tx1"/>
                  </w14:solidFill>
                </w14:textFill>
              </w:rPr>
            </w:pPr>
          </w:p>
        </w:tc>
      </w:tr>
      <w:tr w14:paraId="57F5807F">
        <w:tblPrEx>
          <w:tblBorders>
            <w:top w:val="single" w:color="0C0C0C" w:themeColor="text1" w:themeTint="F2" w:sz="12" w:space="0"/>
            <w:left w:val="single" w:color="0C0C0C" w:themeColor="text1" w:themeTint="F2" w:sz="12" w:space="0"/>
            <w:bottom w:val="single" w:color="0C0C0C" w:themeColor="text1" w:themeTint="F2" w:sz="12" w:space="0"/>
            <w:right w:val="single" w:color="0C0C0C" w:themeColor="text1" w:themeTint="F2" w:sz="12" w:space="0"/>
            <w:insideH w:val="single" w:color="0C0C0C" w:themeColor="text1" w:themeTint="F2" w:sz="12" w:space="0"/>
            <w:insideV w:val="single" w:color="0C0C0C" w:themeColor="text1" w:themeTint="F2" w:sz="12" w:space="0"/>
          </w:tblBorders>
          <w:tblCellMar>
            <w:top w:w="0" w:type="dxa"/>
            <w:left w:w="108" w:type="dxa"/>
            <w:bottom w:w="0" w:type="dxa"/>
            <w:right w:w="108" w:type="dxa"/>
          </w:tblCellMar>
        </w:tblPrEx>
        <w:trPr>
          <w:trHeight w:val="300" w:hRule="atLeast"/>
        </w:trPr>
        <w:tc>
          <w:tcPr>
            <w:tcW w:w="4528"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FFFFFF" w:themeFill="background1"/>
            <w:tcMar>
              <w:top w:w="60" w:type="dxa"/>
              <w:left w:w="110" w:type="dxa"/>
              <w:bottom w:w="60" w:type="dxa"/>
              <w:right w:w="110" w:type="dxa"/>
            </w:tcMar>
            <w:vAlign w:val="center"/>
          </w:tcPr>
          <w:p w14:paraId="788BD8FC">
            <w:pPr>
              <w:spacing w:after="0"/>
              <w:rPr>
                <w:rFonts w:hint="eastAsia" w:ascii="Times New Roman" w:hAnsi="Times New Roman" w:eastAsia="宋体" w:cs="Times New Roman"/>
                <w:color w:val="000000" w:themeColor="text1"/>
                <w:sz w:val="20"/>
                <w:szCs w:val="20"/>
                <w:lang w:eastAsia="zh-CN"/>
                <w14:textFill>
                  <w14:solidFill>
                    <w14:schemeClr w14:val="tx1"/>
                  </w14:solidFill>
                </w14:textFill>
              </w:rPr>
            </w:pPr>
            <w:r>
              <w:rPr>
                <w:rFonts w:hint="eastAsia" w:ascii="Times New Roman" w:hAnsi="Times New Roman" w:eastAsia="微软雅黑" w:cs="Times New Roman"/>
                <w:color w:val="000000" w:themeColor="text1"/>
                <w:sz w:val="20"/>
                <w:szCs w:val="20"/>
                <w:lang w:val="en-US" w:eastAsia="zh-CN" w:bidi="ar-SA"/>
                <w14:textFill>
                  <w14:solidFill>
                    <w14:schemeClr w14:val="tx1"/>
                  </w14:solidFill>
                </w14:textFill>
              </w:rPr>
              <w:t>水的质量分数（% 最大值）</w:t>
            </w:r>
          </w:p>
        </w:tc>
        <w:tc>
          <w:tcPr>
            <w:tcW w:w="2449"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FFFFFF" w:themeFill="background1"/>
            <w:tcMar>
              <w:top w:w="60" w:type="dxa"/>
              <w:left w:w="110" w:type="dxa"/>
              <w:bottom w:w="60" w:type="dxa"/>
              <w:right w:w="110" w:type="dxa"/>
            </w:tcMar>
            <w:vAlign w:val="center"/>
          </w:tcPr>
          <w:p w14:paraId="64D64181">
            <w:pPr>
              <w:spacing w:after="0"/>
              <w:jc w:val="center"/>
              <w:rPr>
                <w:rFonts w:ascii="Times New Roman" w:hAnsi="Times New Roman" w:eastAsia="Times New Roman" w:cs="Times New Roman"/>
                <w:color w:val="000000" w:themeColor="text1"/>
                <w:sz w:val="20"/>
                <w:szCs w:val="20"/>
                <w14:textFill>
                  <w14:solidFill>
                    <w14:schemeClr w14:val="tx1"/>
                  </w14:solidFill>
                </w14:textFill>
              </w:rPr>
            </w:pPr>
          </w:p>
        </w:tc>
        <w:tc>
          <w:tcPr>
            <w:tcW w:w="2513"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FFFFFF" w:themeFill="background1"/>
            <w:tcMar>
              <w:top w:w="60" w:type="dxa"/>
              <w:left w:w="110" w:type="dxa"/>
              <w:bottom w:w="60" w:type="dxa"/>
              <w:right w:w="110" w:type="dxa"/>
            </w:tcMar>
            <w:vAlign w:val="center"/>
          </w:tcPr>
          <w:p w14:paraId="4744CE64">
            <w:pPr>
              <w:spacing w:after="0"/>
              <w:jc w:val="center"/>
              <w:rPr>
                <w:rFonts w:ascii="Times New Roman" w:hAnsi="Times New Roman" w:eastAsia="Times New Roman" w:cs="Times New Roman"/>
                <w:color w:val="000000" w:themeColor="text1"/>
                <w:sz w:val="20"/>
                <w:szCs w:val="20"/>
                <w14:textFill>
                  <w14:solidFill>
                    <w14:schemeClr w14:val="tx1"/>
                  </w14:solidFill>
                </w14:textFill>
              </w:rPr>
            </w:pPr>
          </w:p>
        </w:tc>
      </w:tr>
      <w:tr w14:paraId="362FD0A3">
        <w:tblPrEx>
          <w:tblBorders>
            <w:top w:val="single" w:color="0C0C0C" w:themeColor="text1" w:themeTint="F2" w:sz="12" w:space="0"/>
            <w:left w:val="single" w:color="0C0C0C" w:themeColor="text1" w:themeTint="F2" w:sz="12" w:space="0"/>
            <w:bottom w:val="single" w:color="0C0C0C" w:themeColor="text1" w:themeTint="F2" w:sz="12" w:space="0"/>
            <w:right w:val="single" w:color="0C0C0C" w:themeColor="text1" w:themeTint="F2" w:sz="12" w:space="0"/>
            <w:insideH w:val="single" w:color="0C0C0C" w:themeColor="text1" w:themeTint="F2" w:sz="12" w:space="0"/>
            <w:insideV w:val="single" w:color="0C0C0C" w:themeColor="text1" w:themeTint="F2" w:sz="12" w:space="0"/>
          </w:tblBorders>
          <w:tblCellMar>
            <w:top w:w="0" w:type="dxa"/>
            <w:left w:w="108" w:type="dxa"/>
            <w:bottom w:w="0" w:type="dxa"/>
            <w:right w:w="108" w:type="dxa"/>
          </w:tblCellMar>
        </w:tblPrEx>
        <w:trPr>
          <w:trHeight w:val="300" w:hRule="atLeast"/>
        </w:trPr>
        <w:tc>
          <w:tcPr>
            <w:tcW w:w="4528"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D8D8D8" w:themeFill="background1" w:themeFillShade="D9"/>
            <w:tcMar>
              <w:top w:w="60" w:type="dxa"/>
              <w:left w:w="110" w:type="dxa"/>
              <w:bottom w:w="60" w:type="dxa"/>
              <w:right w:w="110" w:type="dxa"/>
            </w:tcMar>
            <w:vAlign w:val="center"/>
          </w:tcPr>
          <w:p w14:paraId="3376891E">
            <w:pPr>
              <w:spacing w:after="0"/>
              <w:rPr>
                <w:rFonts w:hint="eastAsia" w:ascii="Times New Roman" w:hAnsi="Times New Roman" w:eastAsia="宋体" w:cs="Times New Roman"/>
                <w:color w:val="000000" w:themeColor="text1"/>
                <w:sz w:val="20"/>
                <w:szCs w:val="20"/>
                <w:lang w:eastAsia="zh-CN"/>
                <w14:textFill>
                  <w14:solidFill>
                    <w14:schemeClr w14:val="tx1"/>
                  </w14:solidFill>
                </w14:textFill>
              </w:rPr>
            </w:pPr>
            <w:r>
              <w:rPr>
                <w:rFonts w:hint="eastAsia" w:ascii="Times New Roman" w:hAnsi="Times New Roman" w:eastAsia="微软雅黑" w:cs="Times New Roman"/>
                <w:color w:val="000000" w:themeColor="text1"/>
                <w:sz w:val="20"/>
                <w:szCs w:val="20"/>
                <w:lang w:val="en-US" w:eastAsia="zh-CN" w:bidi="ar-SA"/>
                <w14:textFill>
                  <w14:solidFill>
                    <w14:schemeClr w14:val="tx1"/>
                  </w14:solidFill>
                </w14:textFill>
              </w:rPr>
              <w:t>机械性杂质（纸张、木材、砂粒等）</w:t>
            </w:r>
          </w:p>
        </w:tc>
        <w:tc>
          <w:tcPr>
            <w:tcW w:w="2449"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D8D8D8" w:themeFill="background1" w:themeFillShade="D9"/>
            <w:tcMar>
              <w:top w:w="60" w:type="dxa"/>
              <w:left w:w="110" w:type="dxa"/>
              <w:bottom w:w="60" w:type="dxa"/>
              <w:right w:w="110" w:type="dxa"/>
            </w:tcMar>
            <w:vAlign w:val="center"/>
          </w:tcPr>
          <w:p w14:paraId="74673223">
            <w:pPr>
              <w:spacing w:after="0"/>
              <w:jc w:val="center"/>
              <w:rPr>
                <w:rFonts w:ascii="Times New Roman" w:hAnsi="Times New Roman" w:eastAsia="Times New Roman" w:cs="Times New Roman"/>
                <w:color w:val="000000" w:themeColor="text1"/>
                <w:sz w:val="20"/>
                <w:szCs w:val="20"/>
                <w14:textFill>
                  <w14:solidFill>
                    <w14:schemeClr w14:val="tx1"/>
                  </w14:solidFill>
                </w14:textFill>
              </w:rPr>
            </w:pPr>
          </w:p>
        </w:tc>
        <w:tc>
          <w:tcPr>
            <w:tcW w:w="2513" w:type="dxa"/>
            <w:tcBorders>
              <w:top w:val="single" w:color="0C0C0C" w:themeColor="text1" w:themeTint="F2" w:sz="8" w:space="0"/>
              <w:left w:val="single" w:color="0C0C0C" w:themeColor="text1" w:themeTint="F2" w:sz="8" w:space="0"/>
              <w:bottom w:val="single" w:color="0C0C0C" w:themeColor="text1" w:themeTint="F2" w:sz="8" w:space="0"/>
              <w:right w:val="single" w:color="0C0C0C" w:themeColor="text1" w:themeTint="F2" w:sz="8" w:space="0"/>
            </w:tcBorders>
            <w:shd w:val="clear" w:color="auto" w:fill="D8D8D8" w:themeFill="background1" w:themeFillShade="D9"/>
            <w:tcMar>
              <w:top w:w="60" w:type="dxa"/>
              <w:left w:w="110" w:type="dxa"/>
              <w:bottom w:w="60" w:type="dxa"/>
              <w:right w:w="110" w:type="dxa"/>
            </w:tcMar>
            <w:vAlign w:val="center"/>
          </w:tcPr>
          <w:p w14:paraId="5F241127">
            <w:pPr>
              <w:spacing w:after="0"/>
              <w:jc w:val="center"/>
              <w:rPr>
                <w:rFonts w:ascii="Times New Roman" w:hAnsi="Times New Roman" w:eastAsia="Times New Roman" w:cs="Times New Roman"/>
                <w:color w:val="000000" w:themeColor="text1"/>
                <w:sz w:val="20"/>
                <w:szCs w:val="20"/>
                <w14:textFill>
                  <w14:solidFill>
                    <w14:schemeClr w14:val="tx1"/>
                  </w14:solidFill>
                </w14:textFill>
              </w:rPr>
            </w:pPr>
          </w:p>
        </w:tc>
      </w:tr>
    </w:tbl>
    <w:p w14:paraId="569D17D0">
      <w:pPr>
        <w:pStyle w:val="7"/>
        <w:spacing w:after="0"/>
        <w:ind w:left="900"/>
        <w:jc w:val="both"/>
        <w:rPr>
          <w:rFonts w:ascii="Times New Roman" w:hAnsi="Times New Roman" w:eastAsia="Times New Roman" w:cs="Times New Roman"/>
          <w:color w:val="000000" w:themeColor="text1"/>
          <w:sz w:val="22"/>
          <w:szCs w:val="22"/>
          <w14:textFill>
            <w14:solidFill>
              <w14:schemeClr w14:val="tx1"/>
            </w14:solidFill>
          </w14:textFill>
        </w:rPr>
      </w:pPr>
    </w:p>
    <w:p w14:paraId="3C68B7AA">
      <w:pPr>
        <w:pStyle w:val="7"/>
        <w:spacing w:after="0"/>
        <w:ind w:left="900"/>
        <w:jc w:val="both"/>
        <w:rPr>
          <w:rFonts w:hint="eastAsia" w:ascii="Times New Roman" w:hAnsi="Times New Roman" w:eastAsia="宋体" w:cs="Times New Roman"/>
          <w:color w:val="000000" w:themeColor="text1"/>
          <w:sz w:val="22"/>
          <w:szCs w:val="22"/>
          <w:highlight w:val="yellow"/>
          <w:lang w:eastAsia="zh-CN"/>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结论：工业级颗粒硫（等级[Grade]）符合[检测方法]要求。</w:t>
      </w:r>
    </w:p>
    <w:p w14:paraId="040CC05D">
      <w:pPr>
        <w:pStyle w:val="7"/>
        <w:numPr>
          <w:ilvl w:val="1"/>
          <w:numId w:val="2"/>
        </w:numPr>
        <w:spacing w:after="0"/>
        <w:ind w:left="900" w:leftChars="0" w:hanging="360" w:firstLineChars="0"/>
        <w:jc w:val="both"/>
        <w:rPr>
          <w:rFonts w:ascii="Times New Roman" w:hAnsi="Times New Roman" w:eastAsia="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硫含量不得低于99.9%。对于低于99.9%的硫含量，其处理方法及价格调整详见第9条。所有指标均以干基计算。</w:t>
      </w:r>
    </w:p>
    <w:p w14:paraId="3813EACC">
      <w:pPr>
        <w:spacing w:after="0"/>
        <w:ind w:left="360"/>
        <w:jc w:val="both"/>
        <w:rPr>
          <w:rFonts w:ascii="Times New Roman" w:hAnsi="Times New Roman" w:eastAsia="Times New Roman" w:cs="Times New Roman"/>
          <w:color w:val="000000" w:themeColor="text1"/>
          <w:sz w:val="22"/>
          <w:szCs w:val="22"/>
          <w14:textFill>
            <w14:solidFill>
              <w14:schemeClr w14:val="tx1"/>
            </w14:solidFill>
          </w14:textFill>
        </w:rPr>
      </w:pPr>
    </w:p>
    <w:p w14:paraId="624F360D">
      <w:pPr>
        <w:pStyle w:val="7"/>
        <w:numPr>
          <w:ilvl w:val="0"/>
          <w:numId w:val="1"/>
        </w:numPr>
        <w:spacing w:after="0"/>
        <w:jc w:val="both"/>
        <w:rPr>
          <w:rFonts w:ascii="Times New Roman" w:hAnsi="Times New Roman" w:eastAsia="Times New Roman" w:cs="Times New Roman"/>
          <w:b/>
          <w:bCs/>
          <w:color w:val="000000" w:themeColor="text1"/>
          <w:sz w:val="22"/>
          <w:szCs w:val="22"/>
          <w14:textFill>
            <w14:solidFill>
              <w14:schemeClr w14:val="tx1"/>
            </w14:solidFill>
          </w14:textFill>
        </w:rPr>
      </w:pPr>
      <w:r>
        <w:rPr>
          <w:rFonts w:ascii="Times New Roman" w:hAnsi="Times New Roman" w:eastAsia="Times New Roman" w:cs="Times New Roman"/>
          <w:b/>
          <w:bCs/>
          <w:color w:val="000000" w:themeColor="text1"/>
          <w:sz w:val="22"/>
          <w:szCs w:val="22"/>
          <w14:textFill>
            <w14:solidFill>
              <w14:schemeClr w14:val="tx1"/>
            </w14:solidFill>
          </w14:textFill>
        </w:rPr>
        <w:t>Price</w:t>
      </w:r>
    </w:p>
    <w:p w14:paraId="7581F468">
      <w:pPr>
        <w:pStyle w:val="7"/>
        <w:numPr>
          <w:ilvl w:val="1"/>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 xml:space="preserve">Unit price: USD </w:t>
      </w:r>
      <w:r>
        <w:rPr>
          <w:rFonts w:ascii="Times New Roman" w:hAnsi="Times New Roman" w:cs="Times New Roman"/>
          <w:color w:val="000000" w:themeColor="text1"/>
          <w:sz w:val="22"/>
          <w:szCs w:val="22"/>
          <w:highlight w:val="yellow"/>
          <w14:textFill>
            <w14:solidFill>
              <w14:schemeClr w14:val="tx1"/>
            </w14:solidFill>
          </w14:textFill>
        </w:rPr>
        <w:t>[unit price]</w:t>
      </w:r>
      <w:r>
        <w:rPr>
          <w:rFonts w:ascii="Times New Roman" w:hAnsi="Times New Roman" w:cs="Times New Roman"/>
          <w:color w:val="000000" w:themeColor="text1"/>
          <w:sz w:val="22"/>
          <w:szCs w:val="22"/>
          <w14:textFill>
            <w14:solidFill>
              <w14:schemeClr w14:val="tx1"/>
            </w14:solidFill>
          </w14:textFill>
        </w:rPr>
        <w:t xml:space="preserve"> per metric ton, </w:t>
      </w:r>
      <w:r>
        <w:rPr>
          <w:rFonts w:ascii="Times New Roman" w:hAnsi="Times New Roman" w:cs="Times New Roman"/>
          <w:color w:val="000000" w:themeColor="text1"/>
          <w:sz w:val="22"/>
          <w:szCs w:val="22"/>
          <w:highlight w:val="yellow"/>
          <w14:textFill>
            <w14:solidFill>
              <w14:schemeClr w14:val="tx1"/>
            </w14:solidFill>
          </w14:textFill>
        </w:rPr>
        <w:t xml:space="preserve">CIF [Port of Destination] </w:t>
      </w:r>
      <w:r>
        <w:rPr>
          <w:rFonts w:ascii="Times New Roman" w:hAnsi="Times New Roman" w:cs="Times New Roman"/>
          <w:color w:val="000000" w:themeColor="text1"/>
          <w:sz w:val="22"/>
          <w:szCs w:val="22"/>
          <w14:textFill>
            <w14:solidFill>
              <w14:schemeClr w14:val="tx1"/>
            </w14:solidFill>
          </w14:textFill>
        </w:rPr>
        <w:t>(Incoterms 2020) (“</w:t>
      </w:r>
      <w:r>
        <w:rPr>
          <w:rFonts w:ascii="Times New Roman" w:hAnsi="Times New Roman" w:cs="Times New Roman"/>
          <w:b/>
          <w:bCs/>
          <w:color w:val="000000" w:themeColor="text1"/>
          <w:sz w:val="22"/>
          <w:szCs w:val="22"/>
          <w14:textFill>
            <w14:solidFill>
              <w14:schemeClr w14:val="tx1"/>
            </w14:solidFill>
          </w14:textFill>
        </w:rPr>
        <w:t>Unit Price</w:t>
      </w:r>
      <w:r>
        <w:rPr>
          <w:rFonts w:ascii="Times New Roman" w:hAnsi="Times New Roman" w:cs="Times New Roman"/>
          <w:color w:val="000000" w:themeColor="text1"/>
          <w:sz w:val="22"/>
          <w:szCs w:val="22"/>
          <w14:textFill>
            <w14:solidFill>
              <w14:schemeClr w14:val="tx1"/>
            </w14:solidFill>
          </w14:textFill>
        </w:rPr>
        <w:t>”).</w:t>
      </w:r>
    </w:p>
    <w:p w14:paraId="428705B1">
      <w:pPr>
        <w:pStyle w:val="7"/>
        <w:numPr>
          <w:ilvl w:val="1"/>
          <w:numId w:val="1"/>
        </w:numPr>
        <w:spacing w:after="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 xml:space="preserve">Total contract value: USD </w:t>
      </w:r>
      <w:r>
        <w:rPr>
          <w:rFonts w:ascii="Times New Roman" w:hAnsi="Times New Roman" w:cs="Times New Roman"/>
          <w:color w:val="000000" w:themeColor="text1"/>
          <w:sz w:val="22"/>
          <w:szCs w:val="22"/>
          <w:highlight w:val="yellow"/>
          <w14:textFill>
            <w14:solidFill>
              <w14:schemeClr w14:val="tx1"/>
            </w14:solidFill>
          </w14:textFill>
        </w:rPr>
        <w:t>[total contract value]</w:t>
      </w:r>
      <w:r>
        <w:rPr>
          <w:rFonts w:ascii="Times New Roman" w:hAnsi="Times New Roman" w:cs="Times New Roman"/>
          <w:color w:val="000000" w:themeColor="text1"/>
          <w:sz w:val="22"/>
          <w:szCs w:val="22"/>
          <w14:textFill>
            <w14:solidFill>
              <w14:schemeClr w14:val="tx1"/>
            </w14:solidFill>
          </w14:textFill>
        </w:rPr>
        <w:t>, the final amount to be calculated as the actual shipped quantity multiplied by the Unit Price (“</w:t>
      </w:r>
      <w:r>
        <w:rPr>
          <w:rFonts w:ascii="Times New Roman" w:hAnsi="Times New Roman" w:cs="Times New Roman"/>
          <w:b/>
          <w:bCs/>
          <w:color w:val="000000" w:themeColor="text1"/>
          <w:sz w:val="22"/>
          <w:szCs w:val="22"/>
          <w14:textFill>
            <w14:solidFill>
              <w14:schemeClr w14:val="tx1"/>
            </w14:solidFill>
          </w14:textFill>
        </w:rPr>
        <w:t>Total Contract Value</w:t>
      </w:r>
      <w:r>
        <w:rPr>
          <w:rFonts w:ascii="Times New Roman" w:hAnsi="Times New Roman" w:cs="Times New Roman"/>
          <w:color w:val="000000" w:themeColor="text1"/>
          <w:sz w:val="22"/>
          <w:szCs w:val="22"/>
          <w14:textFill>
            <w14:solidFill>
              <w14:schemeClr w14:val="tx1"/>
            </w14:solidFill>
          </w14:textFill>
        </w:rPr>
        <w:t>”).</w:t>
      </w:r>
    </w:p>
    <w:p w14:paraId="2EE08889">
      <w:pPr>
        <w:pStyle w:val="7"/>
        <w:numPr>
          <w:ilvl w:val="1"/>
          <w:numId w:val="1"/>
        </w:numPr>
        <w:spacing w:after="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Unless otherwise agreed herein, the unit price includes all costs to be borne by the Seller under the applicable trade term.</w:t>
      </w:r>
    </w:p>
    <w:p w14:paraId="2D5FA54E">
      <w:pPr>
        <w:pStyle w:val="7"/>
        <w:numPr>
          <w:ilvl w:val="1"/>
          <w:numId w:val="1"/>
        </w:numPr>
        <w:spacing w:after="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All taxes, duties and charges levied in the country of export in connection with the export of the Goods shall be for the Seller's account; all taxes, duties (including customs duty and VAT) and charges levied in the country of import in connection with the import of the Goods shall be for the Buyer's account.</w:t>
      </w:r>
    </w:p>
    <w:p w14:paraId="5F9BC68F">
      <w:pPr>
        <w:pStyle w:val="7"/>
        <w:numPr>
          <w:ilvl w:val="0"/>
          <w:numId w:val="2"/>
        </w:numPr>
        <w:spacing w:after="0"/>
        <w:ind w:left="360" w:leftChars="0" w:hanging="360" w:firstLineChars="0"/>
        <w:jc w:val="both"/>
        <w:rPr>
          <w:rFonts w:ascii="Times New Roman" w:hAnsi="Times New Roman" w:eastAsia="Times New Roman" w:cs="Times New Roman"/>
          <w:b/>
          <w:bCs/>
          <w:color w:val="000000" w:themeColor="text1"/>
          <w:sz w:val="22"/>
          <w:szCs w:val="22"/>
          <w14:textFill>
            <w14:solidFill>
              <w14:schemeClr w14:val="tx1"/>
            </w14:solidFill>
          </w14:textFill>
        </w:rPr>
      </w:pPr>
      <w:r>
        <w:rPr>
          <w:rFonts w:hint="eastAsia" w:ascii="Times New Roman" w:hAnsi="Times New Roman" w:eastAsia="微软雅黑" w:cs="Times New Roman"/>
          <w:b/>
          <w:bCs/>
          <w:color w:val="000000" w:themeColor="text1"/>
          <w:sz w:val="22"/>
          <w:szCs w:val="22"/>
          <w:lang w:val="en-US" w:eastAsia="zh-CN" w:bidi="ar-SA"/>
          <w14:textFill>
            <w14:solidFill>
              <w14:schemeClr w14:val="tx1"/>
            </w14:solidFill>
          </w14:textFill>
        </w:rPr>
        <w:t>价格</w:t>
      </w:r>
    </w:p>
    <w:p w14:paraId="5B83EF98">
      <w:pPr>
        <w:pStyle w:val="7"/>
        <w:numPr>
          <w:ilvl w:val="1"/>
          <w:numId w:val="2"/>
        </w:numPr>
        <w:spacing w:after="0"/>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单价：每公吨美元[单价]，CIF（目的港）（《2020年国际贸易术语解释通则》）（简称“单价”）。</w:t>
      </w:r>
    </w:p>
    <w:p w14:paraId="76759B32">
      <w:pPr>
        <w:pStyle w:val="7"/>
        <w:numPr>
          <w:ilvl w:val="1"/>
          <w:numId w:val="2"/>
        </w:numPr>
        <w:spacing w:after="0"/>
        <w:ind w:left="900" w:leftChars="0" w:hanging="360" w:firstLineChars="0"/>
        <w:jc w:val="both"/>
        <w:rPr>
          <w:rFonts w:ascii="Times New Roman" w:hAnsi="Times New Roman" w:eastAsia="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合同总金额：美元[合同总金额]，即按实际发货数量乘以单价计算得出的最终金额（“合同总金额”）。</w:t>
      </w:r>
    </w:p>
    <w:p w14:paraId="2420B4B2">
      <w:pPr>
        <w:pStyle w:val="7"/>
        <w:numPr>
          <w:ilvl w:val="1"/>
          <w:numId w:val="2"/>
        </w:numPr>
        <w:spacing w:after="0"/>
        <w:ind w:left="900" w:leftChars="0" w:hanging="360" w:firstLineChars="0"/>
        <w:jc w:val="both"/>
        <w:rPr>
          <w:rFonts w:ascii="Times New Roman" w:hAnsi="Times New Roman" w:eastAsia="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除非本合同另有约定，单价应包含卖方根据适用贸易条款需承担的所有费用。</w:t>
      </w:r>
    </w:p>
    <w:p w14:paraId="26B8C1E2">
      <w:pPr>
        <w:pStyle w:val="7"/>
        <w:numPr>
          <w:ilvl w:val="1"/>
          <w:numId w:val="2"/>
        </w:numPr>
        <w:spacing w:after="0"/>
        <w:ind w:left="900" w:leftChars="0" w:hanging="360" w:firstLineChars="0"/>
        <w:jc w:val="both"/>
        <w:rPr>
          <w:rFonts w:ascii="Times New Roman" w:hAnsi="Times New Roman" w:eastAsia="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货物出口至出口国时所征收的所有税款、关税及费用均应由卖方承担；货物进口至进口国时所征收的所有税款、关税（包括关税和增值税）及费用均应由买方承担。</w:t>
      </w:r>
    </w:p>
    <w:p w14:paraId="45AEB269">
      <w:pPr>
        <w:pStyle w:val="7"/>
        <w:spacing w:after="0"/>
        <w:ind w:left="936"/>
        <w:jc w:val="both"/>
        <w:rPr>
          <w:rFonts w:ascii="Times New Roman" w:hAnsi="Times New Roman" w:eastAsia="Times New Roman" w:cs="Times New Roman"/>
          <w:color w:val="000000" w:themeColor="text1"/>
          <w:sz w:val="22"/>
          <w:szCs w:val="22"/>
          <w14:textFill>
            <w14:solidFill>
              <w14:schemeClr w14:val="tx1"/>
            </w14:solidFill>
          </w14:textFill>
        </w:rPr>
      </w:pPr>
    </w:p>
    <w:p w14:paraId="4D3F8F65">
      <w:pPr>
        <w:pStyle w:val="7"/>
        <w:numPr>
          <w:ilvl w:val="0"/>
          <w:numId w:val="1"/>
        </w:numPr>
        <w:spacing w:after="0"/>
        <w:jc w:val="both"/>
        <w:rPr>
          <w:rFonts w:ascii="Times New Roman" w:hAnsi="Times New Roman" w:eastAsia="Times New Roman" w:cs="Times New Roman"/>
          <w:b/>
          <w:bCs/>
          <w:color w:val="000000" w:themeColor="text1"/>
          <w:sz w:val="22"/>
          <w:szCs w:val="22"/>
          <w14:textFill>
            <w14:solidFill>
              <w14:schemeClr w14:val="tx1"/>
            </w14:solidFill>
          </w14:textFill>
        </w:rPr>
      </w:pPr>
      <w:r>
        <w:rPr>
          <w:rFonts w:ascii="Times New Roman" w:hAnsi="Times New Roman" w:eastAsia="Times New Roman" w:cs="Times New Roman"/>
          <w:b/>
          <w:bCs/>
          <w:color w:val="000000" w:themeColor="text1"/>
          <w:sz w:val="22"/>
          <w:szCs w:val="22"/>
          <w14:textFill>
            <w14:solidFill>
              <w14:schemeClr w14:val="tx1"/>
            </w14:solidFill>
          </w14:textFill>
        </w:rPr>
        <w:t>Delivery Terms</w:t>
      </w:r>
    </w:p>
    <w:p w14:paraId="54559A24">
      <w:pPr>
        <w:pStyle w:val="7"/>
        <w:numPr>
          <w:ilvl w:val="1"/>
          <w:numId w:val="1"/>
        </w:numPr>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 xml:space="preserve">Incoterm: </w:t>
      </w:r>
      <w:r>
        <w:rPr>
          <w:rFonts w:ascii="Times New Roman" w:hAnsi="Times New Roman" w:cs="Times New Roman"/>
          <w:color w:val="000000" w:themeColor="text1"/>
          <w:sz w:val="22"/>
          <w:szCs w:val="22"/>
          <w:highlight w:val="yellow"/>
          <w14:textFill>
            <w14:solidFill>
              <w14:schemeClr w14:val="tx1"/>
            </w14:solidFill>
          </w14:textFill>
        </w:rPr>
        <w:t>CIF</w:t>
      </w:r>
      <w:r>
        <w:rPr>
          <w:rFonts w:ascii="Times New Roman" w:hAnsi="Times New Roman" w:cs="Times New Roman"/>
          <w:color w:val="000000" w:themeColor="text1"/>
          <w:sz w:val="22"/>
          <w:szCs w:val="22"/>
          <w14:textFill>
            <w14:solidFill>
              <w14:schemeClr w14:val="tx1"/>
            </w14:solidFill>
          </w14:textFill>
        </w:rPr>
        <w:t xml:space="preserve"> (Incoterms 2020). </w:t>
      </w:r>
    </w:p>
    <w:p w14:paraId="642FC682">
      <w:pPr>
        <w:pStyle w:val="7"/>
        <w:numPr>
          <w:ilvl w:val="1"/>
          <w:numId w:val="1"/>
        </w:numPr>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Port of Loading:</w:t>
      </w:r>
      <w:r>
        <w:rPr>
          <w:rFonts w:ascii="Times New Roman" w:hAnsi="Times New Roman" w:cs="Times New Roman"/>
          <w:color w:val="000000" w:themeColor="text1"/>
          <w:sz w:val="22"/>
          <w:szCs w:val="22"/>
          <w:highlight w:val="yellow"/>
          <w:lang w:val="en-GB" w:eastAsia="zh-CN"/>
          <w14:textFill>
            <w14:solidFill>
              <w14:schemeClr w14:val="tx1"/>
            </w14:solidFill>
          </w14:textFill>
        </w:rPr>
        <w:t xml:space="preserve"> [</w:t>
      </w:r>
      <w:r>
        <w:rPr>
          <w:rFonts w:ascii="Times New Roman" w:hAnsi="Times New Roman" w:cs="Times New Roman"/>
          <w:color w:val="000000" w:themeColor="text1"/>
          <w:sz w:val="22"/>
          <w:szCs w:val="22"/>
          <w:highlight w:val="yellow"/>
          <w14:textFill>
            <w14:solidFill>
              <w14:schemeClr w14:val="tx1"/>
            </w14:solidFill>
          </w14:textFill>
        </w:rPr>
        <w:t>Port of Loading</w:t>
      </w:r>
      <w:r>
        <w:rPr>
          <w:rFonts w:ascii="Times New Roman" w:hAnsi="Times New Roman" w:cs="Times New Roman"/>
          <w:color w:val="000000" w:themeColor="text1"/>
          <w:sz w:val="22"/>
          <w:szCs w:val="22"/>
          <w:highlight w:val="yellow"/>
          <w:lang w:val="en-GB" w:eastAsia="zh-CN"/>
          <w14:textFill>
            <w14:solidFill>
              <w14:schemeClr w14:val="tx1"/>
            </w14:solidFill>
          </w14:textFill>
        </w:rPr>
        <w:t>]</w:t>
      </w:r>
      <w:r>
        <w:rPr>
          <w:rFonts w:ascii="Times New Roman" w:hAnsi="Times New Roman" w:cs="Times New Roman"/>
          <w:color w:val="000000" w:themeColor="text1"/>
          <w:sz w:val="22"/>
          <w:szCs w:val="22"/>
          <w:highlight w:val="yellow"/>
          <w14:textFill>
            <w14:solidFill>
              <w14:schemeClr w14:val="tx1"/>
            </w14:solidFill>
          </w14:textFill>
        </w:rPr>
        <w:t>.</w:t>
      </w:r>
    </w:p>
    <w:p w14:paraId="79CB1D53">
      <w:pPr>
        <w:pStyle w:val="7"/>
        <w:numPr>
          <w:ilvl w:val="1"/>
          <w:numId w:val="1"/>
        </w:numPr>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 xml:space="preserve">Port of Destination: </w:t>
      </w:r>
      <w:r>
        <w:rPr>
          <w:rFonts w:ascii="Times New Roman" w:hAnsi="Times New Roman" w:cs="Times New Roman"/>
          <w:color w:val="000000" w:themeColor="text1"/>
          <w:sz w:val="22"/>
          <w:szCs w:val="22"/>
          <w:highlight w:val="yellow"/>
          <w:lang w:val="en-GB" w:eastAsia="zh-CN"/>
          <w14:textFill>
            <w14:solidFill>
              <w14:schemeClr w14:val="tx1"/>
            </w14:solidFill>
          </w14:textFill>
        </w:rPr>
        <w:t>[</w:t>
      </w:r>
      <w:r>
        <w:rPr>
          <w:rFonts w:ascii="Times New Roman" w:hAnsi="Times New Roman" w:cs="Times New Roman"/>
          <w:color w:val="000000" w:themeColor="text1"/>
          <w:sz w:val="22"/>
          <w:szCs w:val="22"/>
          <w:highlight w:val="yellow"/>
          <w14:textFill>
            <w14:solidFill>
              <w14:schemeClr w14:val="tx1"/>
            </w14:solidFill>
          </w14:textFill>
        </w:rPr>
        <w:t>Port of Destination</w:t>
      </w:r>
      <w:r>
        <w:rPr>
          <w:rFonts w:ascii="Times New Roman" w:hAnsi="Times New Roman" w:cs="Times New Roman"/>
          <w:color w:val="000000" w:themeColor="text1"/>
          <w:sz w:val="22"/>
          <w:szCs w:val="22"/>
          <w:highlight w:val="yellow"/>
          <w:lang w:val="en-GB" w:eastAsia="zh-CN"/>
          <w14:textFill>
            <w14:solidFill>
              <w14:schemeClr w14:val="tx1"/>
            </w14:solidFill>
          </w14:textFill>
        </w:rPr>
        <w:t>]</w:t>
      </w:r>
      <w:r>
        <w:rPr>
          <w:rFonts w:ascii="Times New Roman" w:hAnsi="Times New Roman" w:cs="Times New Roman"/>
          <w:color w:val="000000" w:themeColor="text1"/>
          <w:sz w:val="22"/>
          <w:szCs w:val="22"/>
          <w:highlight w:val="yellow"/>
          <w14:textFill>
            <w14:solidFill>
              <w14:schemeClr w14:val="tx1"/>
            </w14:solidFill>
          </w14:textFill>
        </w:rPr>
        <w:t>.</w:t>
      </w:r>
    </w:p>
    <w:p w14:paraId="305B8134">
      <w:pPr>
        <w:pStyle w:val="7"/>
        <w:numPr>
          <w:ilvl w:val="1"/>
          <w:numId w:val="1"/>
        </w:numPr>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 xml:space="preserve">Latest </w:t>
      </w:r>
      <w:r>
        <w:rPr>
          <w:rFonts w:hint="eastAsia" w:ascii="Times New Roman" w:hAnsi="Times New Roman" w:cs="Times New Roman"/>
          <w:color w:val="000000" w:themeColor="text1"/>
          <w:sz w:val="22"/>
          <w:szCs w:val="22"/>
          <w:lang w:eastAsia="zh-CN"/>
          <w14:textFill>
            <w14:solidFill>
              <w14:schemeClr w14:val="tx1"/>
            </w14:solidFill>
          </w14:textFill>
        </w:rPr>
        <w:t>de</w:t>
      </w:r>
      <w:r>
        <w:rPr>
          <w:rFonts w:ascii="Times New Roman" w:hAnsi="Times New Roman" w:cs="Times New Roman"/>
          <w:color w:val="000000" w:themeColor="text1"/>
          <w:sz w:val="22"/>
          <w:szCs w:val="22"/>
          <w14:textFill>
            <w14:solidFill>
              <w14:schemeClr w14:val="tx1"/>
            </w14:solidFill>
          </w14:textFill>
        </w:rPr>
        <w:t>livery date: the full quantity shall be shipped within thirty (30) days after the Seller receives and accepts the letter of credit (L/C). For the purposes of this Clause, "shipped" means the Goods have been loaded on board the vessel at the Port of Loading, which date shall be evidenced by the on-board date of the Bill of Lading ("</w:t>
      </w:r>
      <w:r>
        <w:rPr>
          <w:rFonts w:ascii="Times New Roman" w:hAnsi="Times New Roman" w:cs="Times New Roman"/>
          <w:b/>
          <w:bCs/>
          <w:color w:val="000000" w:themeColor="text1"/>
          <w:sz w:val="22"/>
          <w:szCs w:val="22"/>
          <w14:textFill>
            <w14:solidFill>
              <w14:schemeClr w14:val="tx1"/>
            </w14:solidFill>
          </w14:textFill>
        </w:rPr>
        <w:t>Latest Delivery Date</w:t>
      </w:r>
      <w:r>
        <w:rPr>
          <w:rFonts w:ascii="Times New Roman" w:hAnsi="Times New Roman" w:cs="Times New Roman"/>
          <w:color w:val="000000" w:themeColor="text1"/>
          <w:sz w:val="22"/>
          <w:szCs w:val="22"/>
          <w14:textFill>
            <w14:solidFill>
              <w14:schemeClr w14:val="tx1"/>
            </w14:solidFill>
          </w14:textFill>
        </w:rPr>
        <w:t>"). Estimated transit times to the Port of Destination are given in good faith and without guarantee.</w:t>
      </w:r>
    </w:p>
    <w:p w14:paraId="69215A42">
      <w:pPr>
        <w:pStyle w:val="7"/>
        <w:numPr>
          <w:ilvl w:val="1"/>
          <w:numId w:val="1"/>
        </w:numPr>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Within two (2) business days after each shipment, the Seller shall notify the Buyer in writing of the contract number, commodity, quantity, weight, vessel name, Bill of Lading number and date, and estimated time of arrival at the Port of Destination.</w:t>
      </w:r>
    </w:p>
    <w:p w14:paraId="670D9402">
      <w:pPr>
        <w:pStyle w:val="7"/>
        <w:numPr>
          <w:ilvl w:val="1"/>
          <w:numId w:val="1"/>
        </w:numPr>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 xml:space="preserve">Discharge and Demurrage: The vessel shall be discharged at the Port of Destination by and at the cost of the Buyer (CIF free out) at a minimum rate of </w:t>
      </w:r>
      <w:r>
        <w:rPr>
          <w:rFonts w:ascii="Times New Roman" w:hAnsi="Times New Roman" w:cs="Times New Roman"/>
          <w:color w:val="000000" w:themeColor="text1"/>
          <w:sz w:val="22"/>
          <w:szCs w:val="22"/>
          <w:highlight w:val="yellow"/>
          <w14:textFill>
            <w14:solidFill>
              <w14:schemeClr w14:val="tx1"/>
            </w14:solidFill>
          </w14:textFill>
        </w:rPr>
        <w:t>2,000</w:t>
      </w:r>
      <w:r>
        <w:rPr>
          <w:rFonts w:ascii="Times New Roman" w:hAnsi="Times New Roman" w:cs="Times New Roman"/>
          <w:color w:val="000000" w:themeColor="text1"/>
          <w:sz w:val="22"/>
          <w:szCs w:val="22"/>
          <w14:textFill>
            <w14:solidFill>
              <w14:schemeClr w14:val="tx1"/>
            </w14:solidFill>
          </w14:textFill>
        </w:rPr>
        <w:t xml:space="preserve"> MT per weather working day of 24 consecutive hours, Sundays and holidays included (WWD SHINC). Laytime shall commence </w:t>
      </w:r>
      <w:r>
        <w:rPr>
          <w:rFonts w:ascii="Calibri" w:hAnsi="Calibri" w:eastAsia="微软雅黑"/>
          <w:sz w:val="21"/>
        </w:rPr>
        <w:t xml:space="preserve">twenty-four (24) </w:t>
      </w:r>
      <w:r>
        <w:rPr>
          <w:rFonts w:ascii="Times New Roman" w:hAnsi="Times New Roman" w:cs="Times New Roman"/>
          <w:color w:val="000000" w:themeColor="text1"/>
          <w:sz w:val="22"/>
          <w:szCs w:val="22"/>
          <w14:textFill>
            <w14:solidFill>
              <w14:schemeClr w14:val="tx1"/>
            </w14:solidFill>
          </w14:textFill>
        </w:rPr>
        <w:t xml:space="preserve">hours after Notice of Readiness is tendered, whether in berth or not. </w:t>
      </w:r>
      <w:r>
        <w:rPr>
          <w:rFonts w:ascii="Calibri" w:hAnsi="Calibri" w:eastAsia="微软雅黑"/>
          <w:sz w:val="21"/>
        </w:rPr>
        <w:t xml:space="preserve">provided that the vessel has obtained free pratique and is in all respects ready for discharge. </w:t>
      </w:r>
      <w:r>
        <w:rPr>
          <w:rFonts w:ascii="Times New Roman" w:hAnsi="Times New Roman" w:cs="Times New Roman"/>
          <w:color w:val="000000" w:themeColor="text1"/>
          <w:sz w:val="22"/>
          <w:szCs w:val="22"/>
          <w14:textFill>
            <w14:solidFill>
              <w14:schemeClr w14:val="tx1"/>
            </w14:solidFill>
          </w14:textFill>
        </w:rPr>
        <w:t>Demurrage, at the rate advised in the Seller's vessel nomination (which shall not exceed the rate in the governing charter party), shall be for the Buyer's account and shall be settled within fifteen (15) days of presentation of the laytime statement and supporting documents. Despatch money shall be payable by the Seller at half the demurrage rate for all laytime saved. Waiting time for berth shall count as laytime.</w:t>
      </w:r>
    </w:p>
    <w:p w14:paraId="2D40B631">
      <w:pPr>
        <w:pStyle w:val="7"/>
        <w:numPr>
          <w:ilvl w:val="1"/>
          <w:numId w:val="1"/>
        </w:numPr>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Part-cargo shipment together with other parcels for the same or other destinations is acceptable, provided such other cargo is segregated in separate holds and poses no risk of contamination or degradation to the Goods.</w:t>
      </w:r>
    </w:p>
    <w:p w14:paraId="2BD86116">
      <w:pPr>
        <w:pStyle w:val="7"/>
        <w:numPr>
          <w:ilvl w:val="0"/>
          <w:numId w:val="2"/>
        </w:numPr>
        <w:spacing w:after="0"/>
        <w:ind w:left="360" w:leftChars="0" w:hanging="360" w:firstLineChars="0"/>
        <w:jc w:val="both"/>
        <w:rPr>
          <w:rFonts w:ascii="Times New Roman" w:hAnsi="Times New Roman" w:eastAsia="Times New Roman" w:cs="Times New Roman"/>
          <w:b/>
          <w:bCs/>
          <w:color w:val="000000" w:themeColor="text1"/>
          <w:sz w:val="22"/>
          <w:szCs w:val="22"/>
          <w14:textFill>
            <w14:solidFill>
              <w14:schemeClr w14:val="tx1"/>
            </w14:solidFill>
          </w14:textFill>
        </w:rPr>
      </w:pPr>
      <w:r>
        <w:rPr>
          <w:rFonts w:hint="eastAsia" w:ascii="Times New Roman" w:hAnsi="Times New Roman" w:eastAsia="微软雅黑" w:cs="Times New Roman"/>
          <w:b/>
          <w:bCs/>
          <w:color w:val="000000" w:themeColor="text1"/>
          <w:sz w:val="22"/>
          <w:szCs w:val="22"/>
          <w:lang w:val="en-US" w:eastAsia="zh-CN" w:bidi="ar-SA"/>
          <w14:textFill>
            <w14:solidFill>
              <w14:schemeClr w14:val="tx1"/>
            </w14:solidFill>
          </w14:textFill>
        </w:rPr>
        <w:t>交付条款</w:t>
      </w:r>
    </w:p>
    <w:p w14:paraId="21E1D749">
      <w:pPr>
        <w:pStyle w:val="7"/>
        <w:numPr>
          <w:ilvl w:val="1"/>
          <w:numId w:val="2"/>
        </w:numPr>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国际贸易术语解释通则：CIF（《国际贸易术语解释通则2020》）。</w:t>
      </w:r>
    </w:p>
    <w:p w14:paraId="5996C423">
      <w:pPr>
        <w:pStyle w:val="7"/>
        <w:numPr>
          <w:ilvl w:val="1"/>
          <w:numId w:val="2"/>
        </w:numPr>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highlight w:val="yellow"/>
          <w:lang w:val="en-US" w:eastAsia="zh-CN" w:bidi="ar-SA"/>
          <w14:textFill>
            <w14:solidFill>
              <w14:schemeClr w14:val="tx1"/>
            </w14:solidFill>
          </w14:textFill>
        </w:rPr>
        <w:t>装货港：[装货港]。</w:t>
      </w:r>
    </w:p>
    <w:p w14:paraId="303009AE">
      <w:pPr>
        <w:pStyle w:val="7"/>
        <w:numPr>
          <w:ilvl w:val="1"/>
          <w:numId w:val="2"/>
        </w:numPr>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highlight w:val="yellow"/>
          <w:lang w:val="en-US" w:eastAsia="zh-CN" w:bidi="ar-SA"/>
          <w14:textFill>
            <w14:solidFill>
              <w14:schemeClr w14:val="tx1"/>
            </w14:solidFill>
          </w14:textFill>
        </w:rPr>
        <w:t>目的港：[目的港]。</w:t>
      </w:r>
    </w:p>
    <w:p w14:paraId="3DFBC4D3">
      <w:pPr>
        <w:pStyle w:val="7"/>
        <w:numPr>
          <w:ilvl w:val="1"/>
          <w:numId w:val="2"/>
        </w:numPr>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最终交货日期：全部货物应在卖方收到并接受信用证（L/C）后三十（30）日内完成发货。就本条款而言，“已发货”指货物已在装运港装船，该日期以提单上的装船日期为准（即“最终交货日期”）。至目的港的预计运输时间仅为估算值，不构成任何保证。</w:t>
      </w:r>
    </w:p>
    <w:p w14:paraId="6AC17A68">
      <w:pPr>
        <w:pStyle w:val="7"/>
        <w:numPr>
          <w:ilvl w:val="1"/>
          <w:numId w:val="2"/>
        </w:numPr>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每次发货后两个(2)工作日内，卖方应书面通知买方合同编号、商品名称、数量、重量、船舶名称、提单号码及日期以及预计抵达目的港的时间。</w:t>
      </w:r>
    </w:p>
    <w:p w14:paraId="19ECE303">
      <w:pPr>
        <w:pStyle w:val="7"/>
        <w:numPr>
          <w:ilvl w:val="1"/>
          <w:numId w:val="2"/>
        </w:numPr>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卸货及滞期费：船舶应在目的港由买方负责卸货，费用由买方承担（CIF离岸价），最低费率为每连续24小时工作日（含周日及节假日）2,000公吨（WWD SHINC）。停泊时间自提交备航通知后</w:t>
      </w:r>
      <w:r>
        <w:rPr>
          <w:rFonts w:ascii="Calibri" w:hAnsi="Calibri" w:eastAsia="微软雅黑"/>
          <w:sz w:val="21"/>
        </w:rPr>
        <w:t>二十四（24）</w:t>
      </w: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小时起算，无论船舶是否已停靠泊位</w:t>
      </w:r>
      <w:r>
        <w:rPr>
          <w:rFonts w:ascii="Calibri" w:hAnsi="Calibri" w:eastAsia="微软雅黑"/>
          <w:sz w:val="21"/>
        </w:rPr>
        <w:t>，前提是船舶已取得入港检疫许可并具备卸货条件。</w:t>
      </w: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滞期费按卖方船舶提单中载明的费率计收（不得超过有效租船合同中的费率），由买方承担，并须在提交停泊时间证明及相关文件后十五（15）日内结清。对于节省的停泊时间，卖方应按滞期费标准的一半支付遣送费。等待泊位的时间应计入停泊时间。</w:t>
      </w:r>
    </w:p>
    <w:p w14:paraId="279827F1">
      <w:pPr>
        <w:pStyle w:val="7"/>
        <w:ind w:left="900"/>
        <w:jc w:val="both"/>
        <w:rPr>
          <w:rFonts w:ascii="Times New Roman" w:hAnsi="Times New Roman" w:eastAsia="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将部分货物与其他同目的地或其他目的地的包裹一同运输是允许的，但前提是这些其他货物必须分装在独立货舱中，并不会对货物造成污染或劣化风险。</w:t>
      </w:r>
    </w:p>
    <w:p w14:paraId="461C09EC">
      <w:pPr>
        <w:pStyle w:val="7"/>
        <w:numPr>
          <w:ilvl w:val="0"/>
          <w:numId w:val="1"/>
        </w:numPr>
        <w:spacing w:after="0"/>
        <w:jc w:val="both"/>
        <w:rPr>
          <w:rFonts w:ascii="Times New Roman" w:hAnsi="Times New Roman" w:eastAsia="Times New Roman" w:cs="Times New Roman"/>
          <w:b/>
          <w:bCs/>
          <w:color w:val="000000" w:themeColor="text1"/>
          <w:sz w:val="22"/>
          <w:szCs w:val="22"/>
          <w14:textFill>
            <w14:solidFill>
              <w14:schemeClr w14:val="tx1"/>
            </w14:solidFill>
          </w14:textFill>
        </w:rPr>
      </w:pPr>
      <w:r>
        <w:rPr>
          <w:rFonts w:ascii="Times New Roman" w:hAnsi="Times New Roman" w:eastAsia="Times New Roman" w:cs="Times New Roman"/>
          <w:b/>
          <w:bCs/>
          <w:color w:val="000000" w:themeColor="text1"/>
          <w:sz w:val="22"/>
          <w:szCs w:val="22"/>
          <w14:textFill>
            <w14:solidFill>
              <w14:schemeClr w14:val="tx1"/>
            </w14:solidFill>
          </w14:textFill>
        </w:rPr>
        <w:t xml:space="preserve">Insurance </w:t>
      </w:r>
    </w:p>
    <w:p w14:paraId="0937BF19">
      <w:pPr>
        <w:pStyle w:val="7"/>
        <w:spacing w:after="0"/>
        <w:ind w:left="36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The Seller shall, at its own cost, procure marine cargo insurance covering the Goods from the Port of Loading to the Port of Destination for a minimum of 110% of the invoice value on Institute Cargo Clauses (A) terms, claims payable at destination in the currency of the invoice. The insurance certificate or policy shall be presented under the L/C in accordance with Article 7.6.</w:t>
      </w:r>
    </w:p>
    <w:p w14:paraId="125F41ED">
      <w:pPr>
        <w:pStyle w:val="7"/>
        <w:numPr>
          <w:ilvl w:val="0"/>
          <w:numId w:val="2"/>
        </w:numPr>
        <w:spacing w:after="0"/>
        <w:ind w:left="360" w:leftChars="0" w:hanging="360" w:firstLineChars="0"/>
        <w:jc w:val="both"/>
        <w:rPr>
          <w:rFonts w:ascii="Times New Roman" w:hAnsi="Times New Roman" w:eastAsia="Times New Roman" w:cs="Times New Roman"/>
          <w:b/>
          <w:bCs/>
          <w:color w:val="000000" w:themeColor="text1"/>
          <w:sz w:val="22"/>
          <w:szCs w:val="22"/>
          <w14:textFill>
            <w14:solidFill>
              <w14:schemeClr w14:val="tx1"/>
            </w14:solidFill>
          </w14:textFill>
        </w:rPr>
      </w:pPr>
      <w:r>
        <w:rPr>
          <w:rFonts w:hint="eastAsia" w:ascii="Times New Roman" w:hAnsi="Times New Roman" w:eastAsia="微软雅黑" w:cs="Times New Roman"/>
          <w:b/>
          <w:bCs/>
          <w:color w:val="000000" w:themeColor="text1"/>
          <w:sz w:val="22"/>
          <w:szCs w:val="22"/>
          <w:lang w:val="en-US" w:eastAsia="zh-CN" w:bidi="ar-SA"/>
          <w14:textFill>
            <w14:solidFill>
              <w14:schemeClr w14:val="tx1"/>
            </w14:solidFill>
          </w14:textFill>
        </w:rPr>
        <w:t>保险</w:t>
      </w:r>
    </w:p>
    <w:p w14:paraId="016E3AAC">
      <w:pPr>
        <w:pStyle w:val="7"/>
        <w:spacing w:after="0"/>
        <w:ind w:left="360"/>
        <w:jc w:val="both"/>
        <w:rPr>
          <w:rFonts w:hint="eastAsia" w:ascii="Times New Roman" w:hAnsi="Times New Roman" w:eastAsia="宋体" w:cs="Times New Roman"/>
          <w:color w:val="000000" w:themeColor="text1"/>
          <w:sz w:val="22"/>
          <w:szCs w:val="22"/>
          <w:lang w:eastAsia="zh-CN"/>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卖方应自费按照《货物保险条款(A)》的规定，为货物从装货港至目的港投保海上货物保险，保额至少达到发票价值的110%，保险理赔须以发票所用货币在目的地支付。保险单或保单须根据第7.6条的要求随信用证一并提交。</w:t>
      </w:r>
    </w:p>
    <w:p w14:paraId="4367544D">
      <w:pPr>
        <w:pStyle w:val="7"/>
        <w:spacing w:after="0"/>
        <w:ind w:left="360"/>
        <w:jc w:val="both"/>
        <w:rPr>
          <w:rFonts w:ascii="Times New Roman" w:hAnsi="Times New Roman" w:eastAsia="Times New Roman" w:cs="Times New Roman"/>
          <w:color w:val="000000" w:themeColor="text1"/>
          <w:sz w:val="22"/>
          <w:szCs w:val="22"/>
          <w14:textFill>
            <w14:solidFill>
              <w14:schemeClr w14:val="tx1"/>
            </w14:solidFill>
          </w14:textFill>
        </w:rPr>
      </w:pPr>
    </w:p>
    <w:p w14:paraId="353D9E27">
      <w:pPr>
        <w:pStyle w:val="7"/>
        <w:numPr>
          <w:ilvl w:val="0"/>
          <w:numId w:val="1"/>
        </w:numPr>
        <w:spacing w:after="0"/>
        <w:jc w:val="both"/>
        <w:rPr>
          <w:rFonts w:ascii="Times New Roman" w:hAnsi="Times New Roman" w:eastAsia="Times New Roman" w:cs="Times New Roman"/>
          <w:b/>
          <w:bCs/>
          <w:color w:val="000000" w:themeColor="text1"/>
          <w:sz w:val="22"/>
          <w:szCs w:val="22"/>
          <w14:textFill>
            <w14:solidFill>
              <w14:schemeClr w14:val="tx1"/>
            </w14:solidFill>
          </w14:textFill>
        </w:rPr>
      </w:pPr>
      <w:r>
        <w:rPr>
          <w:rFonts w:ascii="Times New Roman" w:hAnsi="Times New Roman" w:eastAsia="Times New Roman" w:cs="Times New Roman"/>
          <w:b/>
          <w:bCs/>
          <w:color w:val="000000" w:themeColor="text1"/>
          <w:sz w:val="22"/>
          <w:szCs w:val="22"/>
          <w14:textFill>
            <w14:solidFill>
              <w14:schemeClr w14:val="tx1"/>
            </w14:solidFill>
          </w14:textFill>
        </w:rPr>
        <w:t>Payment</w:t>
      </w:r>
    </w:p>
    <w:p w14:paraId="56412D87">
      <w:pPr>
        <w:pStyle w:val="7"/>
        <w:numPr>
          <w:ilvl w:val="1"/>
          <w:numId w:val="1"/>
        </w:numPr>
        <w:spacing w:after="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Method of payment: the Buyer shall open a letter of credit (L/C) in favour of the Seller for 100% of the Total Contract Value.</w:t>
      </w:r>
    </w:p>
    <w:p w14:paraId="0C65894A">
      <w:pPr>
        <w:pStyle w:val="7"/>
        <w:numPr>
          <w:ilvl w:val="1"/>
          <w:numId w:val="1"/>
        </w:numPr>
        <w:spacing w:after="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 xml:space="preserve">The L/C shall be opened within five (5) business days after the signing of this Agreement and </w:t>
      </w:r>
      <w:r>
        <w:rPr>
          <w:rFonts w:ascii="Times New Roman" w:hAnsi="Times New Roman" w:cs="Times New Roman"/>
          <w:color w:val="000000" w:themeColor="text1"/>
          <w:sz w:val="22"/>
          <w:szCs w:val="22"/>
          <w14:textFill>
            <w14:solidFill>
              <w14:schemeClr w14:val="tx1"/>
            </w14:solidFill>
          </w14:textFill>
        </w:rPr>
        <w:t>shall be subject to UCP 600 (2007 Revision) and ISBP 745.</w:t>
      </w:r>
    </w:p>
    <w:p w14:paraId="3C076076">
      <w:pPr>
        <w:pStyle w:val="7"/>
        <w:numPr>
          <w:ilvl w:val="1"/>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 xml:space="preserve">L/C Issuing bank: </w:t>
      </w:r>
      <w:r>
        <w:rPr>
          <w:rFonts w:ascii="Times New Roman" w:hAnsi="Times New Roman" w:cs="Times New Roman"/>
          <w:color w:val="000000" w:themeColor="text1"/>
          <w:sz w:val="22"/>
          <w:szCs w:val="22"/>
          <w:highlight w:val="yellow"/>
          <w14:textFill>
            <w14:solidFill>
              <w14:schemeClr w14:val="tx1"/>
            </w14:solidFill>
          </w14:textFill>
        </w:rPr>
        <w:t>[issuing bank]</w:t>
      </w:r>
      <w:r>
        <w:rPr>
          <w:rFonts w:ascii="Times New Roman" w:hAnsi="Times New Roman" w:cs="Times New Roman"/>
          <w:color w:val="000000" w:themeColor="text1"/>
          <w:sz w:val="22"/>
          <w:szCs w:val="22"/>
          <w14:textFill>
            <w14:solidFill>
              <w14:schemeClr w14:val="tx1"/>
            </w14:solidFill>
          </w14:textFill>
        </w:rPr>
        <w:t xml:space="preserve">; advising bank: </w:t>
      </w:r>
      <w:r>
        <w:rPr>
          <w:rFonts w:ascii="Times New Roman" w:hAnsi="Times New Roman" w:cs="Times New Roman"/>
          <w:color w:val="000000" w:themeColor="text1"/>
          <w:sz w:val="22"/>
          <w:szCs w:val="22"/>
          <w:highlight w:val="yellow"/>
          <w14:textFill>
            <w14:solidFill>
              <w14:schemeClr w14:val="tx1"/>
            </w14:solidFill>
          </w14:textFill>
        </w:rPr>
        <w:t>[advising bank]</w:t>
      </w:r>
      <w:r>
        <w:rPr>
          <w:rFonts w:ascii="Times New Roman" w:hAnsi="Times New Roman" w:cs="Times New Roman"/>
          <w:color w:val="000000" w:themeColor="text1"/>
          <w:sz w:val="22"/>
          <w:szCs w:val="22"/>
          <w14:textFill>
            <w14:solidFill>
              <w14:schemeClr w14:val="tx1"/>
            </w14:solidFill>
          </w14:textFill>
        </w:rPr>
        <w:t>.</w:t>
      </w:r>
    </w:p>
    <w:p w14:paraId="3F1FE8B4">
      <w:pPr>
        <w:pStyle w:val="7"/>
        <w:numPr>
          <w:ilvl w:val="1"/>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 xml:space="preserve">Key L/C terms: </w:t>
      </w:r>
    </w:p>
    <w:p w14:paraId="58E00539">
      <w:pPr>
        <w:pStyle w:val="7"/>
        <w:numPr>
          <w:ilvl w:val="2"/>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irrevocable;</w:t>
      </w:r>
    </w:p>
    <w:p w14:paraId="10736BA5">
      <w:pPr>
        <w:pStyle w:val="7"/>
        <w:numPr>
          <w:ilvl w:val="2"/>
          <w:numId w:val="1"/>
        </w:numPr>
        <w:spacing w:after="0"/>
        <w:jc w:val="both"/>
        <w:rPr>
          <w:rFonts w:ascii="Times New Roman" w:hAnsi="Times New Roman" w:cs="Times New Roman"/>
          <w:color w:val="000000" w:themeColor="text1"/>
          <w:sz w:val="22"/>
          <w:szCs w:val="22"/>
          <w:highlight w:val="yellow"/>
          <w14:textFill>
            <w14:solidFill>
              <w14:schemeClr w14:val="tx1"/>
            </w14:solidFill>
          </w14:textFill>
        </w:rPr>
      </w:pPr>
      <w:r>
        <w:rPr>
          <w:rFonts w:hint="eastAsia" w:ascii="Times New Roman" w:hAnsi="Times New Roman" w:cs="Times New Roman"/>
          <w:color w:val="000000" w:themeColor="text1"/>
          <w:sz w:val="22"/>
          <w:szCs w:val="22"/>
          <w:highlight w:val="yellow"/>
          <w14:textFill>
            <w14:solidFill>
              <w14:schemeClr w14:val="tx1"/>
            </w14:solidFill>
          </w14:textFill>
        </w:rPr>
        <w:t>Amendment</w:t>
      </w:r>
      <w:r>
        <w:rPr>
          <w:rFonts w:hint="eastAsia" w:ascii="Times New Roman" w:hAnsi="Times New Roman" w:cs="Times New Roman"/>
          <w:color w:val="000000" w:themeColor="text1"/>
          <w:sz w:val="22"/>
          <w:szCs w:val="22"/>
          <w:highlight w:val="yellow"/>
          <w:lang w:val="en-US" w:eastAsia="zh-CN"/>
          <w14:textFill>
            <w14:solidFill>
              <w14:schemeClr w14:val="tx1"/>
            </w14:solidFill>
          </w14:textFill>
        </w:rPr>
        <w:t>able</w:t>
      </w:r>
    </w:p>
    <w:p w14:paraId="0CCCDC98">
      <w:pPr>
        <w:pStyle w:val="7"/>
        <w:numPr>
          <w:ilvl w:val="2"/>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transferrable;</w:t>
      </w:r>
    </w:p>
    <w:p w14:paraId="4EB082D3">
      <w:pPr>
        <w:pStyle w:val="7"/>
        <w:numPr>
          <w:ilvl w:val="2"/>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payable at sight;</w:t>
      </w:r>
    </w:p>
    <w:p w14:paraId="630E0825">
      <w:pPr>
        <w:pStyle w:val="7"/>
        <w:numPr>
          <w:ilvl w:val="2"/>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partial shipments allowed;</w:t>
      </w:r>
    </w:p>
    <w:p w14:paraId="50BA13EF">
      <w:pPr>
        <w:pStyle w:val="7"/>
        <w:numPr>
          <w:ilvl w:val="2"/>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partial drawings allowed;</w:t>
      </w:r>
    </w:p>
    <w:p w14:paraId="79160DD8">
      <w:pPr>
        <w:pStyle w:val="7"/>
        <w:numPr>
          <w:ilvl w:val="2"/>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transshipment allowed;</w:t>
      </w:r>
    </w:p>
    <w:p w14:paraId="2D40AF03">
      <w:pPr>
        <w:pStyle w:val="7"/>
        <w:numPr>
          <w:ilvl w:val="2"/>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cs="Times New Roman"/>
          <w:color w:val="000000" w:themeColor="text1"/>
          <w:sz w:val="22"/>
          <w:szCs w:val="22"/>
          <w14:textFill>
            <w14:solidFill>
              <w14:schemeClr w14:val="tx1"/>
            </w14:solidFill>
          </w14:textFill>
        </w:rPr>
        <w:t>Charter party Bills of Lading acceptable only if accompanied by a letter of indemnity from the Seller or the master's authorization to deliver the Goods to the Buyer at the Port of Destination. The Buyer reserves the right to require an Ocean Bill of Lading at the Seller's cost.</w:t>
      </w:r>
      <w:r>
        <w:rPr>
          <w:rFonts w:ascii="Times New Roman" w:hAnsi="Times New Roman" w:cs="Times New Roman"/>
          <w:color w:val="000000" w:themeColor="text1"/>
          <w:sz w:val="22"/>
          <w:szCs w:val="22"/>
          <w14:textFill>
            <w14:solidFill>
              <w14:schemeClr w14:val="tx1"/>
            </w14:solidFill>
          </w14:textFill>
        </w:rPr>
        <w:t>;</w:t>
      </w:r>
    </w:p>
    <w:p w14:paraId="2106E27B">
      <w:pPr>
        <w:pStyle w:val="7"/>
        <w:numPr>
          <w:ilvl w:val="2"/>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L/C amount and quantity to allow a tolerance of ±</w:t>
      </w:r>
      <w:r>
        <w:rPr>
          <w:rFonts w:hint="eastAsia" w:ascii="Times New Roman" w:hAnsi="Times New Roman" w:cs="Times New Roman"/>
          <w:color w:val="000000" w:themeColor="text1"/>
          <w:sz w:val="22"/>
          <w:szCs w:val="22"/>
          <w:lang w:eastAsia="zh-CN"/>
          <w14:textFill>
            <w14:solidFill>
              <w14:schemeClr w14:val="tx1"/>
            </w14:solidFill>
          </w14:textFill>
        </w:rPr>
        <w:t>5</w:t>
      </w:r>
      <w:r>
        <w:rPr>
          <w:rFonts w:ascii="Times New Roman" w:hAnsi="Times New Roman" w:cs="Times New Roman"/>
          <w:color w:val="000000" w:themeColor="text1"/>
          <w:sz w:val="22"/>
          <w:szCs w:val="22"/>
          <w14:textFill>
            <w14:solidFill>
              <w14:schemeClr w14:val="tx1"/>
            </w14:solidFill>
          </w14:textFill>
        </w:rPr>
        <w:t>% at the Seller’s option;</w:t>
      </w:r>
    </w:p>
    <w:p w14:paraId="13484A46">
      <w:pPr>
        <w:pStyle w:val="7"/>
        <w:numPr>
          <w:ilvl w:val="2"/>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 xml:space="preserve">presentation period within </w:t>
      </w:r>
      <w:r>
        <w:rPr>
          <w:rFonts w:hint="eastAsia" w:ascii="Times New Roman" w:hAnsi="Times New Roman" w:cs="Times New Roman"/>
          <w:color w:val="000000" w:themeColor="text1"/>
          <w:sz w:val="22"/>
          <w:szCs w:val="22"/>
          <w:lang w:eastAsia="zh-CN"/>
          <w14:textFill>
            <w14:solidFill>
              <w14:schemeClr w14:val="tx1"/>
            </w14:solidFill>
          </w14:textFill>
        </w:rPr>
        <w:t>thi</w:t>
      </w:r>
      <w:r>
        <w:rPr>
          <w:rFonts w:ascii="Times New Roman" w:hAnsi="Times New Roman" w:cs="Times New Roman"/>
          <w:color w:val="000000" w:themeColor="text1"/>
          <w:sz w:val="22"/>
          <w:szCs w:val="22"/>
          <w:lang w:val="en-GB" w:eastAsia="zh-CN"/>
          <w14:textFill>
            <w14:solidFill>
              <w14:schemeClr w14:val="tx1"/>
            </w14:solidFill>
          </w14:textFill>
        </w:rPr>
        <w:t>rty (</w:t>
      </w:r>
      <w:r>
        <w:rPr>
          <w:rFonts w:ascii="Times New Roman" w:hAnsi="Times New Roman" w:cs="Times New Roman"/>
          <w:color w:val="000000" w:themeColor="text1"/>
          <w:sz w:val="22"/>
          <w:szCs w:val="22"/>
          <w14:textFill>
            <w14:solidFill>
              <w14:schemeClr w14:val="tx1"/>
            </w14:solidFill>
          </w14:textFill>
        </w:rPr>
        <w:t>30) days after shipment but within validity;</w:t>
      </w:r>
    </w:p>
    <w:p w14:paraId="2C8F7D0B">
      <w:pPr>
        <w:pStyle w:val="7"/>
        <w:numPr>
          <w:ilvl w:val="2"/>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Expiry date: thirty (30) days after the Latest Delivery Date, with the L/C expiring at the counters of the advising/nominated bank in the beneficiary's country.</w:t>
      </w:r>
    </w:p>
    <w:p w14:paraId="79E7CA15">
      <w:pPr>
        <w:pStyle w:val="7"/>
        <w:numPr>
          <w:ilvl w:val="1"/>
          <w:numId w:val="1"/>
        </w:numPr>
        <w:spacing w:after="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 xml:space="preserve">Banking charges: charges in the issuing bank's country borne by the Buyer; charges in the beneficiary's country borne by the Seller. </w:t>
      </w:r>
    </w:p>
    <w:p w14:paraId="6A29A08E">
      <w:pPr>
        <w:pStyle w:val="7"/>
        <w:numPr>
          <w:ilvl w:val="1"/>
          <w:numId w:val="1"/>
        </w:numPr>
        <w:spacing w:after="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Documents for presentation. The Seller shall present the following documents under the L/C:</w:t>
      </w:r>
    </w:p>
    <w:p w14:paraId="341ADDB3">
      <w:pPr>
        <w:pStyle w:val="7"/>
        <w:numPr>
          <w:ilvl w:val="2"/>
          <w:numId w:val="1"/>
        </w:numPr>
        <w:spacing w:after="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signed commercial invoice;</w:t>
      </w:r>
    </w:p>
    <w:p w14:paraId="569F7C5F">
      <w:pPr>
        <w:pStyle w:val="7"/>
        <w:numPr>
          <w:ilvl w:val="2"/>
          <w:numId w:val="1"/>
        </w:numPr>
        <w:spacing w:after="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full set (3/3) of clean on board ocean Bills of Lading, made out to order and blank endorsed, marked "freight prepaid", notify party: the Buyer</w:t>
      </w:r>
      <w:r>
        <w:rPr>
          <w:rFonts w:ascii="宋体" w:hAnsi="宋体" w:eastAsia="宋体" w:cs="宋体"/>
          <w:color w:val="000000" w:themeColor="text1"/>
          <w:sz w:val="22"/>
          <w:szCs w:val="22"/>
          <w:lang w:val="en-GB" w:eastAsia="zh-CN"/>
          <w14:textFill>
            <w14:solidFill>
              <w14:schemeClr w14:val="tx1"/>
            </w14:solidFill>
          </w14:textFill>
        </w:rPr>
        <w:t>;</w:t>
      </w:r>
    </w:p>
    <w:p w14:paraId="05B7EEFA">
      <w:pPr>
        <w:pStyle w:val="7"/>
        <w:numPr>
          <w:ilvl w:val="2"/>
          <w:numId w:val="1"/>
        </w:numPr>
        <w:spacing w:after="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packing list / weight list;</w:t>
      </w:r>
    </w:p>
    <w:p w14:paraId="7C57A337">
      <w:pPr>
        <w:pStyle w:val="7"/>
        <w:numPr>
          <w:ilvl w:val="2"/>
          <w:numId w:val="1"/>
        </w:numPr>
        <w:spacing w:after="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Certificate of Origin;</w:t>
      </w:r>
    </w:p>
    <w:p w14:paraId="0967A65C">
      <w:pPr>
        <w:pStyle w:val="7"/>
        <w:numPr>
          <w:ilvl w:val="2"/>
          <w:numId w:val="1"/>
        </w:numPr>
        <w:spacing w:after="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 xml:space="preserve">Certificate of Quality and Certificate of Weight issued by the independent inspector under Article 8.1; </w:t>
      </w:r>
    </w:p>
    <w:p w14:paraId="61E60692">
      <w:pPr>
        <w:pStyle w:val="7"/>
        <w:numPr>
          <w:ilvl w:val="2"/>
          <w:numId w:val="1"/>
        </w:numPr>
        <w:spacing w:after="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 xml:space="preserve">insurance certificate or policy for 110% of the invoice value under Institute Cargo Clauses (A), blank endorsed (if applicable); </w:t>
      </w:r>
    </w:p>
    <w:p w14:paraId="25A3FA07">
      <w:pPr>
        <w:pStyle w:val="7"/>
        <w:numPr>
          <w:ilvl w:val="2"/>
          <w:numId w:val="1"/>
        </w:numPr>
        <w:spacing w:after="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 xml:space="preserve">the Seller's shipment advice under Article 5. </w:t>
      </w:r>
    </w:p>
    <w:p w14:paraId="1EBBACEC">
      <w:pPr>
        <w:spacing w:after="0"/>
        <w:ind w:left="108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No document requiring the Buyer's issuance, signature, countersignature, approval or release shall be a condition of payment.</w:t>
      </w:r>
    </w:p>
    <w:p w14:paraId="089EA212">
      <w:pPr>
        <w:pStyle w:val="7"/>
        <w:numPr>
          <w:ilvl w:val="1"/>
          <w:numId w:val="1"/>
        </w:numPr>
        <w:spacing w:after="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Conformity of the L/C:</w:t>
      </w:r>
      <w:r>
        <w:rPr>
          <w:rFonts w:ascii="Times New Roman" w:hAnsi="Times New Roman" w:eastAsia="Times New Roman" w:cs="Times New Roman"/>
          <w:sz w:val="22"/>
          <w:szCs w:val="22"/>
        </w:rPr>
        <w:t xml:space="preserve"> the Seller shall, within ten (10) business days of receipt of the issued L/C (or any amendment), notify the Buyer either of its acceptance or of the amendments required to bring the L/C into conformity with this Agreement. An L/C conforming to this Article 7 is deemed accepted upon such notice or, absent any notice, upon expiry of the said ten (10) business days, and becomes operative on the date of such acceptance or deemed acceptance. Any term of the issued L/C inconsistent with this Agreement shall be amended at the </w:t>
      </w:r>
      <w:r>
        <w:rPr>
          <w:rFonts w:hint="eastAsia" w:ascii="Times New Roman" w:hAnsi="Times New Roman" w:eastAsia="宋体" w:cs="Times New Roman"/>
          <w:sz w:val="22"/>
          <w:szCs w:val="22"/>
          <w:lang w:val="en-US" w:eastAsia="zh-CN"/>
        </w:rPr>
        <w:t>Sell</w:t>
      </w:r>
      <w:r>
        <w:rPr>
          <w:rFonts w:ascii="Times New Roman" w:hAnsi="Times New Roman" w:eastAsia="Times New Roman" w:cs="Times New Roman"/>
          <w:sz w:val="22"/>
          <w:szCs w:val="22"/>
        </w:rPr>
        <w:t>er’s cost, and the thirty (30) day period in Article 5.4 shall run from acceptance or deemed acceptance of the L/C as so amended.</w:t>
      </w:r>
    </w:p>
    <w:p w14:paraId="324729D1">
      <w:pPr>
        <w:pStyle w:val="7"/>
        <w:numPr>
          <w:ilvl w:val="0"/>
          <w:numId w:val="2"/>
        </w:numPr>
        <w:spacing w:after="0"/>
        <w:ind w:left="360" w:leftChars="0" w:hanging="360" w:firstLineChars="0"/>
        <w:jc w:val="both"/>
        <w:rPr>
          <w:rFonts w:ascii="Times New Roman" w:hAnsi="Times New Roman" w:eastAsia="Times New Roman" w:cs="Times New Roman"/>
          <w:b/>
          <w:bCs/>
          <w:color w:val="000000" w:themeColor="text1"/>
          <w:sz w:val="22"/>
          <w:szCs w:val="22"/>
          <w14:textFill>
            <w14:solidFill>
              <w14:schemeClr w14:val="tx1"/>
            </w14:solidFill>
          </w14:textFill>
        </w:rPr>
      </w:pPr>
      <w:r>
        <w:rPr>
          <w:rFonts w:hint="eastAsia" w:ascii="Times New Roman" w:hAnsi="Times New Roman" w:eastAsia="微软雅黑" w:cs="Times New Roman"/>
          <w:b/>
          <w:bCs/>
          <w:color w:val="000000" w:themeColor="text1"/>
          <w:sz w:val="22"/>
          <w:szCs w:val="22"/>
          <w:lang w:val="en-US" w:eastAsia="zh-CN" w:bidi="ar-SA"/>
          <w14:textFill>
            <w14:solidFill>
              <w14:schemeClr w14:val="tx1"/>
            </w14:solidFill>
          </w14:textFill>
        </w:rPr>
        <w:t>付款</w:t>
      </w:r>
    </w:p>
    <w:p w14:paraId="40D46BA6">
      <w:pPr>
        <w:pStyle w:val="7"/>
        <w:numPr>
          <w:ilvl w:val="1"/>
          <w:numId w:val="2"/>
        </w:numPr>
        <w:spacing w:after="0"/>
        <w:ind w:left="900" w:leftChars="0" w:hanging="360" w:firstLineChars="0"/>
        <w:jc w:val="both"/>
        <w:rPr>
          <w:rFonts w:ascii="Times New Roman" w:hAnsi="Times New Roman" w:eastAsia="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付款方式：买方应为卖方开立总额为合同总金额100%的信用证（L/C）。</w:t>
      </w:r>
    </w:p>
    <w:p w14:paraId="151D67D3">
      <w:pPr>
        <w:pStyle w:val="7"/>
        <w:numPr>
          <w:ilvl w:val="1"/>
          <w:numId w:val="2"/>
        </w:numPr>
        <w:spacing w:after="0"/>
        <w:ind w:left="900" w:leftChars="0" w:hanging="360" w:firstLineChars="0"/>
        <w:jc w:val="both"/>
        <w:rPr>
          <w:rFonts w:ascii="Times New Roman" w:hAnsi="Times New Roman" w:eastAsia="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本信用证应在本协议签署后五个(5)工作日内开立，并须遵守 UCP 600（2007年修订版）及 ISBP 745的规定。</w:t>
      </w:r>
    </w:p>
    <w:p w14:paraId="4D89DD59">
      <w:pPr>
        <w:pStyle w:val="7"/>
        <w:numPr>
          <w:ilvl w:val="1"/>
          <w:numId w:val="2"/>
        </w:numPr>
        <w:spacing w:after="0"/>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信用证开证行：[开证行]；保兑行：[</w:t>
      </w:r>
      <w:r>
        <w:rPr>
          <w:rFonts w:hint="eastAsia" w:ascii="Times New Roman" w:hAnsi="Times New Roman" w:eastAsia="微软雅黑" w:cs="Times New Roman"/>
          <w:color w:val="000000" w:themeColor="text1"/>
          <w:sz w:val="22"/>
          <w:szCs w:val="22"/>
          <w:highlight w:val="yellow"/>
          <w:lang w:val="en-US" w:eastAsia="zh-CN" w:bidi="ar-SA"/>
          <w14:textFill>
            <w14:solidFill>
              <w14:schemeClr w14:val="tx1"/>
            </w14:solidFill>
          </w14:textFill>
        </w:rPr>
        <w:t>保兑行,最好香港汇丰</w:t>
      </w: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w:t>
      </w:r>
    </w:p>
    <w:p w14:paraId="5DEF6677">
      <w:pPr>
        <w:pStyle w:val="7"/>
        <w:numPr>
          <w:ilvl w:val="1"/>
          <w:numId w:val="2"/>
        </w:numPr>
        <w:spacing w:after="0"/>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信用证关键条款：</w:t>
      </w:r>
    </w:p>
    <w:p w14:paraId="2CA96472">
      <w:pPr>
        <w:pStyle w:val="7"/>
        <w:numPr>
          <w:ilvl w:val="2"/>
          <w:numId w:val="2"/>
        </w:numPr>
        <w:spacing w:after="0"/>
        <w:ind w:left="1260" w:leftChars="0" w:hanging="18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不能取消的;</w:t>
      </w:r>
    </w:p>
    <w:p w14:paraId="6729233C">
      <w:pPr>
        <w:pStyle w:val="7"/>
        <w:numPr>
          <w:ilvl w:val="2"/>
          <w:numId w:val="2"/>
        </w:numPr>
        <w:spacing w:after="0"/>
        <w:ind w:left="1260" w:leftChars="0" w:hanging="18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可修改的</w:t>
      </w:r>
    </w:p>
    <w:p w14:paraId="3ACF7CAB">
      <w:pPr>
        <w:pStyle w:val="7"/>
        <w:numPr>
          <w:ilvl w:val="2"/>
          <w:numId w:val="2"/>
        </w:numPr>
        <w:spacing w:after="0"/>
        <w:ind w:left="1260" w:leftChars="0" w:hanging="18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可转移的;</w:t>
      </w:r>
    </w:p>
    <w:p w14:paraId="280097FE">
      <w:pPr>
        <w:pStyle w:val="7"/>
        <w:numPr>
          <w:ilvl w:val="2"/>
          <w:numId w:val="2"/>
        </w:numPr>
        <w:spacing w:after="0"/>
        <w:ind w:left="1260" w:leftChars="0" w:hanging="18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见票即付;</w:t>
      </w:r>
    </w:p>
    <w:p w14:paraId="62753372">
      <w:pPr>
        <w:pStyle w:val="7"/>
        <w:numPr>
          <w:ilvl w:val="2"/>
          <w:numId w:val="2"/>
        </w:numPr>
        <w:spacing w:after="0"/>
        <w:ind w:left="1260" w:leftChars="0" w:hanging="18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允许进行部分货物运输；</w:t>
      </w:r>
    </w:p>
    <w:p w14:paraId="0B1DBC64">
      <w:pPr>
        <w:pStyle w:val="7"/>
        <w:numPr>
          <w:ilvl w:val="2"/>
          <w:numId w:val="2"/>
        </w:numPr>
        <w:spacing w:after="0"/>
        <w:ind w:left="1260" w:leftChars="0" w:hanging="18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允许绘制部分图纸；</w:t>
      </w:r>
    </w:p>
    <w:p w14:paraId="7DA64A2B">
      <w:pPr>
        <w:pStyle w:val="7"/>
        <w:numPr>
          <w:ilvl w:val="2"/>
          <w:numId w:val="2"/>
        </w:numPr>
        <w:spacing w:after="0"/>
        <w:ind w:left="1260" w:leftChars="0" w:hanging="18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允许转运；</w:t>
      </w:r>
    </w:p>
    <w:p w14:paraId="698E3502">
      <w:pPr>
        <w:pStyle w:val="7"/>
        <w:numPr>
          <w:ilvl w:val="2"/>
          <w:numId w:val="2"/>
        </w:numPr>
        <w:spacing w:after="0"/>
        <w:ind w:left="1260" w:leftChars="0" w:hanging="180" w:firstLineChars="0"/>
        <w:jc w:val="both"/>
        <w:rPr>
          <w:rFonts w:ascii="Times New Roman" w:hAnsi="Times New Roman" w:cs="Times New Roman"/>
          <w:color w:val="000000" w:themeColor="text1"/>
          <w:sz w:val="22"/>
          <w:szCs w:val="22"/>
          <w14:textFill>
            <w14:solidFill>
              <w14:schemeClr w14:val="tx1"/>
            </w14:solidFill>
          </w14:textFill>
        </w:rPr>
      </w:pPr>
      <w:r>
        <w:rPr>
          <w:rFonts w:ascii="Calibri" w:hAnsi="Calibri" w:eastAsia="微软雅黑"/>
          <w:sz w:val="21"/>
        </w:rPr>
        <w:t>租船合同提单仅在同时附有卖方出具的赔偿保证函或船长授权在目的港向买方交货的授权书时方可接受。买方有权要求卖方提供海运提单，费用由卖方承担</w:t>
      </w: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w:t>
      </w:r>
      <w:r>
        <w:commentReference w:id="1"/>
      </w:r>
    </w:p>
    <w:p w14:paraId="778FF5A9">
      <w:pPr>
        <w:pStyle w:val="7"/>
        <w:numPr>
          <w:ilvl w:val="2"/>
          <w:numId w:val="2"/>
        </w:numPr>
        <w:spacing w:after="0"/>
        <w:ind w:left="1260" w:leftChars="0" w:hanging="18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信用证金额及数量可由卖方自行决定，允许±5%的浮动范围；</w:t>
      </w:r>
    </w:p>
    <w:p w14:paraId="0138551C">
      <w:pPr>
        <w:pStyle w:val="7"/>
        <w:numPr>
          <w:ilvl w:val="2"/>
          <w:numId w:val="2"/>
        </w:numPr>
        <w:spacing w:after="0"/>
        <w:ind w:left="1260" w:leftChars="0" w:hanging="18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在发货后三十（30）天内且仍在有效期内的展示期；</w:t>
      </w:r>
    </w:p>
    <w:p w14:paraId="5ECC09FF">
      <w:pPr>
        <w:pStyle w:val="7"/>
        <w:numPr>
          <w:ilvl w:val="2"/>
          <w:numId w:val="2"/>
        </w:numPr>
        <w:spacing w:after="0"/>
        <w:ind w:left="1260" w:leftChars="0" w:hanging="18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有效期：自最后交货日期起三十（30）天后，信用证将在受益人所在国的开证/指定银行柜台到期。</w:t>
      </w:r>
    </w:p>
    <w:p w14:paraId="7BAED79A">
      <w:pPr>
        <w:pStyle w:val="7"/>
        <w:numPr>
          <w:ilvl w:val="1"/>
          <w:numId w:val="2"/>
        </w:numPr>
        <w:spacing w:after="0"/>
        <w:ind w:left="900" w:leftChars="0" w:hanging="360" w:firstLineChars="0"/>
        <w:jc w:val="both"/>
        <w:rPr>
          <w:rFonts w:ascii="Times New Roman" w:hAnsi="Times New Roman" w:eastAsia="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银行手续费：发卡行所在国产生的费用由买方承担；受益人所在国产生的费用由卖方承担。</w:t>
      </w:r>
    </w:p>
    <w:p w14:paraId="1AB27FAC">
      <w:pPr>
        <w:pStyle w:val="7"/>
        <w:numPr>
          <w:ilvl w:val="1"/>
          <w:numId w:val="2"/>
        </w:numPr>
        <w:spacing w:after="0"/>
        <w:ind w:left="900" w:leftChars="0" w:hanging="360" w:firstLineChars="0"/>
        <w:jc w:val="both"/>
        <w:rPr>
          <w:rFonts w:ascii="Times New Roman" w:hAnsi="Times New Roman" w:eastAsia="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需提交的文件。卖方应根据信用证要求提交以下文件：</w:t>
      </w:r>
    </w:p>
    <w:p w14:paraId="406C4EE1">
      <w:pPr>
        <w:pStyle w:val="7"/>
        <w:numPr>
          <w:ilvl w:val="2"/>
          <w:numId w:val="2"/>
        </w:numPr>
        <w:spacing w:after="0"/>
        <w:ind w:left="1260" w:leftChars="0" w:hanging="180" w:firstLineChars="0"/>
        <w:jc w:val="both"/>
        <w:rPr>
          <w:rFonts w:ascii="Times New Roman" w:hAnsi="Times New Roman" w:eastAsia="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已签署的商业发票;</w:t>
      </w:r>
    </w:p>
    <w:p w14:paraId="167A3422">
      <w:pPr>
        <w:pStyle w:val="7"/>
        <w:numPr>
          <w:ilvl w:val="2"/>
          <w:numId w:val="2"/>
        </w:numPr>
        <w:spacing w:after="0"/>
        <w:ind w:left="1260" w:leftChars="0" w:hanging="180" w:firstLineChars="0"/>
        <w:jc w:val="both"/>
        <w:rPr>
          <w:rFonts w:ascii="Times New Roman" w:hAnsi="Times New Roman" w:eastAsia="Times New Roman" w:cs="Times New Roman"/>
          <w:color w:val="000000" w:themeColor="text1"/>
          <w:sz w:val="22"/>
          <w:szCs w:val="22"/>
          <w14:textFill>
            <w14:solidFill>
              <w14:schemeClr w14:val="tx1"/>
            </w14:solidFill>
          </w14:textFill>
        </w:rPr>
      </w:pPr>
      <w:r>
        <w:rPr>
          <w:rFonts w:hint="eastAsia" w:ascii="Times New Roman" w:hAnsi="宋体" w:eastAsia="微软雅黑" w:cs="宋体"/>
          <w:color w:val="000000" w:themeColor="text1"/>
          <w:sz w:val="22"/>
          <w:szCs w:val="22"/>
          <w:lang w:val="en-GB" w:eastAsia="zh-CN" w:bidi="ar-SA"/>
          <w14:textFill>
            <w14:solidFill>
              <w14:schemeClr w14:val="tx1"/>
            </w14:solidFill>
          </w14:textFill>
        </w:rPr>
        <w:t>全套（共3份）清洁装船海运提单，按订单开具且空白背书，注明“运费预付”，通知方：买方；</w:t>
      </w:r>
    </w:p>
    <w:p w14:paraId="59D0C7BE">
      <w:pPr>
        <w:pStyle w:val="7"/>
        <w:numPr>
          <w:ilvl w:val="2"/>
          <w:numId w:val="2"/>
        </w:numPr>
        <w:spacing w:after="0"/>
        <w:ind w:left="1260" w:leftChars="0" w:hanging="180" w:firstLineChars="0"/>
        <w:jc w:val="both"/>
        <w:rPr>
          <w:rFonts w:ascii="Times New Roman" w:hAnsi="Times New Roman" w:eastAsia="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包装清单/重量清单；</w:t>
      </w:r>
    </w:p>
    <w:p w14:paraId="3209FA4C">
      <w:pPr>
        <w:pStyle w:val="7"/>
        <w:numPr>
          <w:ilvl w:val="2"/>
          <w:numId w:val="2"/>
        </w:numPr>
        <w:spacing w:after="0"/>
        <w:ind w:left="1260" w:leftChars="0" w:hanging="180" w:firstLineChars="0"/>
        <w:jc w:val="both"/>
        <w:rPr>
          <w:rFonts w:ascii="Times New Roman" w:hAnsi="Times New Roman" w:eastAsia="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原产地证书；</w:t>
      </w:r>
    </w:p>
    <w:p w14:paraId="03B39CBF">
      <w:pPr>
        <w:pStyle w:val="7"/>
        <w:numPr>
          <w:ilvl w:val="2"/>
          <w:numId w:val="2"/>
        </w:numPr>
        <w:spacing w:after="0"/>
        <w:ind w:left="1260" w:leftChars="0" w:hanging="180" w:firstLineChars="0"/>
        <w:jc w:val="both"/>
        <w:rPr>
          <w:rFonts w:ascii="Times New Roman" w:hAnsi="Times New Roman" w:eastAsia="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由独立检验员根据第8.1条签发的质量证书和重量证书；</w:t>
      </w:r>
    </w:p>
    <w:p w14:paraId="714AA375">
      <w:pPr>
        <w:pStyle w:val="7"/>
        <w:numPr>
          <w:ilvl w:val="2"/>
          <w:numId w:val="2"/>
        </w:numPr>
        <w:spacing w:after="0"/>
        <w:ind w:left="1260" w:leftChars="0" w:hanging="180" w:firstLineChars="0"/>
        <w:jc w:val="both"/>
        <w:rPr>
          <w:rFonts w:ascii="Times New Roman" w:hAnsi="Times New Roman" w:eastAsia="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根据《货运条款(A)》规定，提供发票金额110%的保险证明或保单；如适用，需填写空白背书页；</w:t>
      </w:r>
    </w:p>
    <w:p w14:paraId="2E2925EF">
      <w:pPr>
        <w:pStyle w:val="7"/>
        <w:numPr>
          <w:ilvl w:val="2"/>
          <w:numId w:val="2"/>
        </w:numPr>
        <w:spacing w:after="0"/>
        <w:ind w:left="1260" w:leftChars="0" w:hanging="180" w:firstLineChars="0"/>
        <w:jc w:val="both"/>
        <w:rPr>
          <w:rFonts w:ascii="Times New Roman" w:hAnsi="Times New Roman" w:eastAsia="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卖方根据第5条提供的发货建议。</w:t>
      </w:r>
    </w:p>
    <w:p w14:paraId="71E577FC">
      <w:pPr>
        <w:spacing w:after="0"/>
        <w:ind w:left="0"/>
        <w:jc w:val="both"/>
        <w:rPr>
          <w:rFonts w:hint="eastAsia" w:ascii="Times New Roman" w:hAnsi="Times New Roman" w:eastAsia="宋体" w:cs="Times New Roman"/>
          <w:color w:val="000000" w:themeColor="text1"/>
          <w:sz w:val="22"/>
          <w:szCs w:val="22"/>
          <w:lang w:eastAsia="zh-CN"/>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7.7 任何要求买方签发、签署、联署、批准或放行的文件均不得作为付款条件。</w:t>
      </w:r>
    </w:p>
    <w:p w14:paraId="4840356B">
      <w:pPr>
        <w:spacing w:after="0"/>
        <w:jc w:val="both"/>
        <w:rPr>
          <w:rFonts w:ascii="Times New Roman" w:hAnsi="Times New Roman" w:eastAsia="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sz w:val="22"/>
          <w:szCs w:val="22"/>
          <w:lang w:val="en-US" w:eastAsia="zh-CN" w:bidi="ar-SA"/>
        </w:rPr>
        <w:t>信用证的合规性：卖方应在收到已开立的信用证（或任何修订文件）后十（10）个工作日内，通知买方其是否接受该信用证，或需作何修改以使信用证符合本协议规定。符合本第七条规定的信用证，在收到上述通知时即视为已获接受；若未收到任何通知，则自所述十（10）个工作日届满之日起视为已接受，并自接受或视同接受之日起生效。若已开立信用证中的任何条款与本协议不符，卖方应承担费用对该条款进行修正；且第五条第4款规定的三十（30）天期限自该修正后的信用证被接受或视同接受之日起计算。</w:t>
      </w:r>
    </w:p>
    <w:p w14:paraId="1AF3B442">
      <w:pPr>
        <w:pStyle w:val="7"/>
        <w:numPr>
          <w:ilvl w:val="0"/>
          <w:numId w:val="1"/>
        </w:numPr>
        <w:spacing w:after="0"/>
        <w:jc w:val="both"/>
        <w:rPr>
          <w:rFonts w:ascii="Times New Roman" w:hAnsi="Times New Roman" w:eastAsia="Times New Roman" w:cs="Times New Roman"/>
          <w:b/>
          <w:bCs/>
          <w:color w:val="000000" w:themeColor="text1"/>
          <w:sz w:val="22"/>
          <w:szCs w:val="22"/>
          <w14:textFill>
            <w14:solidFill>
              <w14:schemeClr w14:val="tx1"/>
            </w14:solidFill>
          </w14:textFill>
        </w:rPr>
      </w:pPr>
      <w:r>
        <w:rPr>
          <w:rFonts w:ascii="Times New Roman" w:hAnsi="Times New Roman" w:eastAsia="Times New Roman" w:cs="Times New Roman"/>
          <w:b/>
          <w:bCs/>
          <w:color w:val="000000" w:themeColor="text1"/>
          <w:sz w:val="22"/>
          <w:szCs w:val="22"/>
          <w14:textFill>
            <w14:solidFill>
              <w14:schemeClr w14:val="tx1"/>
            </w14:solidFill>
          </w14:textFill>
        </w:rPr>
        <w:t>Inspection for determining the Quality and Quantity</w:t>
      </w:r>
    </w:p>
    <w:p w14:paraId="2980A2B2">
      <w:pPr>
        <w:pStyle w:val="7"/>
        <w:numPr>
          <w:ilvl w:val="1"/>
          <w:numId w:val="1"/>
        </w:numPr>
        <w:spacing w:after="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 xml:space="preserve">Inspection at loading: the cargo shall be inspected for quality and quantity at the Port of Loading by an internationally accredited independent inspection agency such as SGS or Intertek at the Seller's cost, and save for fraud or manifest error, such agency's findings shall be final and binding on both Parties. </w:t>
      </w:r>
      <w:r>
        <w:rPr>
          <w:rFonts w:ascii="Times New Roman" w:hAnsi="Times New Roman" w:eastAsia="Times New Roman" w:cs="Times New Roman"/>
          <w:sz w:val="22"/>
          <w:szCs w:val="22"/>
        </w:rPr>
        <w:t>The Buyer may at its discretion attend, or appoint its own representative to attend, the loading inspection, and may request a simultaneous independent inspection at the loading or transshipment point at the Buyer’s own cost.</w:t>
      </w:r>
    </w:p>
    <w:p w14:paraId="0C9FC922">
      <w:pPr>
        <w:pStyle w:val="7"/>
        <w:numPr>
          <w:ilvl w:val="1"/>
          <w:numId w:val="1"/>
        </w:numPr>
        <w:spacing w:after="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 xml:space="preserve">Re-inspection at destination: the Buyer may, within </w:t>
      </w:r>
      <w:r>
        <w:rPr>
          <w:rFonts w:hint="eastAsia" w:ascii="Times New Roman" w:hAnsi="Times New Roman" w:cs="Times New Roman"/>
          <w:color w:val="000000" w:themeColor="text1"/>
          <w:sz w:val="22"/>
          <w:szCs w:val="22"/>
          <w:lang w:val="en-US" w:eastAsia="zh-CN"/>
          <w14:textFill>
            <w14:solidFill>
              <w14:schemeClr w14:val="tx1"/>
            </w14:solidFill>
          </w14:textFill>
        </w:rPr>
        <w:t>ten</w:t>
      </w:r>
      <w:r>
        <w:rPr>
          <w:rFonts w:ascii="Times New Roman" w:hAnsi="Times New Roman" w:cs="Times New Roman"/>
          <w:color w:val="000000" w:themeColor="text1"/>
          <w:sz w:val="22"/>
          <w:szCs w:val="22"/>
          <w14:textFill>
            <w14:solidFill>
              <w14:schemeClr w14:val="tx1"/>
            </w14:solidFill>
          </w14:textFill>
        </w:rPr>
        <w:t xml:space="preserve"> (</w:t>
      </w:r>
      <w:r>
        <w:rPr>
          <w:rFonts w:hint="eastAsia" w:ascii="Times New Roman" w:hAnsi="Times New Roman" w:cs="Times New Roman"/>
          <w:color w:val="000000" w:themeColor="text1"/>
          <w:sz w:val="22"/>
          <w:szCs w:val="22"/>
          <w:lang w:val="en-US" w:eastAsia="zh-CN"/>
          <w14:textFill>
            <w14:solidFill>
              <w14:schemeClr w14:val="tx1"/>
            </w14:solidFill>
          </w14:textFill>
        </w:rPr>
        <w:t>10</w:t>
      </w:r>
      <w:r>
        <w:rPr>
          <w:rFonts w:ascii="Times New Roman" w:hAnsi="Times New Roman" w:cs="Times New Roman"/>
          <w:color w:val="000000" w:themeColor="text1"/>
          <w:sz w:val="22"/>
          <w:szCs w:val="22"/>
          <w14:textFill>
            <w14:solidFill>
              <w14:schemeClr w14:val="tx1"/>
            </w14:solidFill>
          </w14:textFill>
        </w:rPr>
        <w:t>) days after completion of discharge at the Port of Destination, arrange re-inspection at its own cost by an internationally accredited independent inspection agency. In the event of a discrepancy between the loading and destination results exceeding 0.5% in sulphur content, the Parties shall jointly appoint a mutually acceptable independent surveyor to conduct a final determination based on retained samples from loading</w:t>
      </w:r>
      <w:r>
        <w:rPr>
          <w:rFonts w:hint="eastAsia" w:ascii="Times New Roman" w:hAnsi="Times New Roman" w:cs="Times New Roman"/>
          <w:color w:val="000000" w:themeColor="text1"/>
          <w:sz w:val="22"/>
          <w:szCs w:val="22"/>
          <w:lang w:val="en-US" w:eastAsia="zh-CN"/>
          <w14:textFill>
            <w14:solidFill>
              <w14:schemeClr w14:val="tx1"/>
            </w14:solidFill>
          </w14:textFill>
        </w:rPr>
        <w:t xml:space="preserve"> </w:t>
      </w:r>
      <w:r>
        <w:rPr>
          <w:rFonts w:ascii="Calibri" w:hAnsi="Calibri" w:eastAsia="微软雅黑"/>
          <w:sz w:val="21"/>
        </w:rPr>
        <w:t>and destination</w:t>
      </w:r>
      <w:r>
        <w:rPr>
          <w:rFonts w:hint="eastAsia" w:ascii="Calibri" w:hAnsi="Calibri" w:eastAsia="微软雅黑"/>
          <w:sz w:val="21"/>
          <w:lang w:val="en-US" w:eastAsia="zh-CN"/>
        </w:rPr>
        <w:t>.</w:t>
      </w:r>
      <w:r>
        <w:rPr>
          <w:rFonts w:ascii="Times New Roman" w:hAnsi="Times New Roman" w:cs="Times New Roman"/>
          <w:color w:val="000000" w:themeColor="text1"/>
          <w:sz w:val="22"/>
          <w:szCs w:val="22"/>
          <w14:textFill>
            <w14:solidFill>
              <w14:schemeClr w14:val="tx1"/>
            </w14:solidFill>
          </w14:textFill>
        </w:rPr>
        <w:t xml:space="preserve"> </w:t>
      </w:r>
      <w:r>
        <w:rPr>
          <w:rFonts w:ascii="Calibri" w:hAnsi="Calibri" w:eastAsia="微软雅黑"/>
          <w:sz w:val="21"/>
        </w:rPr>
        <w:t>The destination retained samples shall be drawn jointly by the Buyer and the independent inspector at the time of discharge.</w:t>
      </w:r>
      <w:r>
        <w:rPr>
          <w:rFonts w:hint="eastAsia" w:ascii="Calibri" w:hAnsi="Calibri" w:eastAsia="微软雅黑"/>
          <w:sz w:val="21"/>
          <w:lang w:val="en-US" w:eastAsia="zh-CN"/>
        </w:rPr>
        <w:t xml:space="preserve"> </w:t>
      </w:r>
      <w:r>
        <w:rPr>
          <w:rFonts w:ascii="Calibri" w:hAnsi="Calibri" w:eastAsia="微软雅黑"/>
          <w:sz w:val="21"/>
        </w:rPr>
        <w:t>The findings of the independent surveyor shall be final and binding on both Parties; costs shall be borne by the Party against whom the determination is made.</w:t>
      </w:r>
      <w:r>
        <w:rPr>
          <w:rFonts w:ascii="Times New Roman" w:hAnsi="Times New Roman" w:cs="Times New Roman"/>
          <w:color w:val="000000" w:themeColor="text1"/>
          <w:sz w:val="22"/>
          <w:szCs w:val="22"/>
          <w14:textFill>
            <w14:solidFill>
              <w14:schemeClr w14:val="tx1"/>
            </w14:solidFill>
          </w14:textFill>
        </w:rPr>
        <w:t>. Absent such joint determination, the loading inspection under Article 8.1 shall prevail.</w:t>
      </w:r>
    </w:p>
    <w:p w14:paraId="6B661573">
      <w:pPr>
        <w:pStyle w:val="7"/>
        <w:numPr>
          <w:ilvl w:val="0"/>
          <w:numId w:val="2"/>
        </w:numPr>
        <w:spacing w:after="0"/>
        <w:ind w:left="360" w:leftChars="0" w:hanging="360" w:firstLineChars="0"/>
        <w:jc w:val="both"/>
        <w:rPr>
          <w:rFonts w:ascii="Times New Roman" w:hAnsi="Times New Roman" w:eastAsia="Times New Roman" w:cs="Times New Roman"/>
          <w:b/>
          <w:bCs/>
          <w:color w:val="000000" w:themeColor="text1"/>
          <w:sz w:val="22"/>
          <w:szCs w:val="22"/>
          <w14:textFill>
            <w14:solidFill>
              <w14:schemeClr w14:val="tx1"/>
            </w14:solidFill>
          </w14:textFill>
        </w:rPr>
      </w:pPr>
      <w:r>
        <w:rPr>
          <w:rFonts w:hint="eastAsia" w:ascii="Times New Roman" w:hAnsi="Times New Roman" w:eastAsia="微软雅黑" w:cs="Times New Roman"/>
          <w:b/>
          <w:bCs/>
          <w:color w:val="000000" w:themeColor="text1"/>
          <w:sz w:val="22"/>
          <w:szCs w:val="22"/>
          <w:lang w:val="en-US" w:eastAsia="zh-CN" w:bidi="ar-SA"/>
          <w14:textFill>
            <w14:solidFill>
              <w14:schemeClr w14:val="tx1"/>
            </w14:solidFill>
          </w14:textFill>
        </w:rPr>
        <w:t>用于确定产品质量和数量的检验</w:t>
      </w:r>
    </w:p>
    <w:p w14:paraId="43222D0E">
      <w:pPr>
        <w:pStyle w:val="7"/>
        <w:numPr>
          <w:ilvl w:val="1"/>
          <w:numId w:val="2"/>
        </w:numPr>
        <w:spacing w:after="0"/>
        <w:ind w:left="900" w:leftChars="0" w:hanging="360" w:firstLineChars="0"/>
        <w:jc w:val="both"/>
        <w:rPr>
          <w:rFonts w:ascii="Times New Roman" w:hAnsi="Times New Roman" w:eastAsia="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sz w:val="22"/>
          <w:szCs w:val="22"/>
          <w:lang w:val="en-US" w:eastAsia="zh-CN" w:bidi="ar-SA"/>
        </w:rPr>
        <w:t>装货检验：货物应在装货港由 SGS 或Intertek等国际认可的独立检验机构（费用由卖方承担）进行质量与数量检验；除欺诈或明显错误外，该机构的检验结果对双方均具有最终效力且具有约束力。买方可自行决定是否出席装货检验，或委派其代表参加，并可要求在装货点或转运点同时进行独立检验（费用由买方承担）。</w:t>
      </w:r>
    </w:p>
    <w:p w14:paraId="411DE10C">
      <w:pPr>
        <w:pStyle w:val="7"/>
        <w:numPr>
          <w:ilvl w:val="1"/>
          <w:numId w:val="2"/>
        </w:numPr>
        <w:spacing w:after="0"/>
        <w:ind w:left="900" w:leftChars="0" w:hanging="360" w:firstLineChars="0"/>
        <w:jc w:val="both"/>
        <w:rPr>
          <w:rFonts w:ascii="Times New Roman" w:hAnsi="Times New Roman" w:eastAsia="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目的港复验：买方可在货物抵达目的港完成卸货后十(10)日内</w:t>
      </w:r>
      <w:r>
        <w:commentReference w:id="2"/>
      </w: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，自行承担费用委托国际认可的独立检验机构进行复验。若装运数据与目的港检测结果中硫含量差异超过0.5%，双方应共同指定一名双方认可的独立检验员</w:t>
      </w:r>
      <w:r>
        <w:rPr>
          <w:rFonts w:ascii="Calibri" w:hAnsi="Calibri" w:eastAsia="微软雅黑"/>
          <w:sz w:val="21"/>
        </w:rPr>
        <w:t>根据装运港及目的港双方留存的样品进行最终判定。目的港留存样品应在卸货时由买方与独立检验机构共同提取。该检验员的判定结果对双方均具有最终约束力，相关费用由判定对其不利的一方承担</w:t>
      </w:r>
      <w:r>
        <w:commentReference w:id="3"/>
      </w: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。如未达成上述联合判定，则应以第8.1条规定的装运检验结果为准。</w:t>
      </w:r>
    </w:p>
    <w:p w14:paraId="387CA881">
      <w:pPr>
        <w:spacing w:after="0"/>
        <w:jc w:val="both"/>
        <w:rPr>
          <w:rFonts w:ascii="Times New Roman" w:hAnsi="Times New Roman" w:cs="Times New Roman"/>
          <w:color w:val="000000" w:themeColor="text1"/>
          <w:sz w:val="22"/>
          <w:szCs w:val="22"/>
          <w14:textFill>
            <w14:solidFill>
              <w14:schemeClr w14:val="tx1"/>
            </w14:solidFill>
          </w14:textFill>
        </w:rPr>
      </w:pPr>
    </w:p>
    <w:p w14:paraId="05F3FCBC">
      <w:pPr>
        <w:pStyle w:val="7"/>
        <w:numPr>
          <w:ilvl w:val="0"/>
          <w:numId w:val="1"/>
        </w:numPr>
        <w:spacing w:after="0"/>
        <w:jc w:val="both"/>
        <w:rPr>
          <w:rFonts w:ascii="Times New Roman" w:hAnsi="Times New Roman" w:eastAsia="Times New Roman" w:cs="Times New Roman"/>
          <w:b/>
          <w:bCs/>
          <w:color w:val="000000" w:themeColor="text1"/>
          <w:sz w:val="22"/>
          <w:szCs w:val="22"/>
          <w14:textFill>
            <w14:solidFill>
              <w14:schemeClr w14:val="tx1"/>
            </w14:solidFill>
          </w14:textFill>
        </w:rPr>
      </w:pPr>
      <w:r>
        <w:rPr>
          <w:rFonts w:ascii="Times New Roman" w:hAnsi="Times New Roman" w:eastAsia="Times New Roman" w:cs="Times New Roman"/>
          <w:b/>
          <w:bCs/>
          <w:color w:val="000000" w:themeColor="text1"/>
          <w:sz w:val="22"/>
          <w:szCs w:val="22"/>
          <w14:textFill>
            <w14:solidFill>
              <w14:schemeClr w14:val="tx1"/>
            </w14:solidFill>
          </w14:textFill>
        </w:rPr>
        <w:t>Discrepancy, Claims and Price Adjustment</w:t>
      </w:r>
    </w:p>
    <w:p w14:paraId="7C336939">
      <w:pPr>
        <w:pStyle w:val="7"/>
        <w:numPr>
          <w:ilvl w:val="1"/>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Any claim on quality or quantity shall be made in writing within t</w:t>
      </w:r>
      <w:r>
        <w:rPr>
          <w:rFonts w:hint="eastAsia" w:ascii="Times New Roman" w:hAnsi="Times New Roman" w:cs="Times New Roman"/>
          <w:color w:val="000000" w:themeColor="text1"/>
          <w:sz w:val="22"/>
          <w:szCs w:val="22"/>
          <w:lang w:val="en-US" w:eastAsia="zh-CN"/>
          <w14:textFill>
            <w14:solidFill>
              <w14:schemeClr w14:val="tx1"/>
            </w14:solidFill>
          </w14:textFill>
        </w:rPr>
        <w:t>en</w:t>
      </w:r>
      <w:r>
        <w:rPr>
          <w:rFonts w:ascii="Times New Roman" w:hAnsi="Times New Roman" w:cs="Times New Roman"/>
          <w:color w:val="000000" w:themeColor="text1"/>
          <w:sz w:val="22"/>
          <w:szCs w:val="22"/>
          <w14:textFill>
            <w14:solidFill>
              <w14:schemeClr w14:val="tx1"/>
            </w14:solidFill>
          </w14:textFill>
        </w:rPr>
        <w:t xml:space="preserve"> (</w:t>
      </w:r>
      <w:r>
        <w:rPr>
          <w:rFonts w:hint="eastAsia" w:ascii="Times New Roman" w:hAnsi="Times New Roman" w:cs="Times New Roman"/>
          <w:color w:val="000000" w:themeColor="text1"/>
          <w:sz w:val="22"/>
          <w:szCs w:val="22"/>
          <w:lang w:val="en-US" w:eastAsia="zh-CN"/>
          <w14:textFill>
            <w14:solidFill>
              <w14:schemeClr w14:val="tx1"/>
            </w14:solidFill>
          </w14:textFill>
        </w:rPr>
        <w:t>10</w:t>
      </w:r>
      <w:r>
        <w:rPr>
          <w:rFonts w:ascii="Times New Roman" w:hAnsi="Times New Roman" w:cs="Times New Roman"/>
          <w:color w:val="000000" w:themeColor="text1"/>
          <w:sz w:val="22"/>
          <w:szCs w:val="22"/>
          <w14:textFill>
            <w14:solidFill>
              <w14:schemeClr w14:val="tx1"/>
            </w14:solidFill>
          </w14:textFill>
        </w:rPr>
        <w:t>) days after destination re-inspection. Failing such notice, the Goods shall be deemed conforming</w:t>
      </w:r>
      <w:r>
        <w:rPr>
          <w:rFonts w:ascii="Times New Roman" w:hAnsi="Times New Roman" w:cs="Times New Roman"/>
          <w:color w:val="000000" w:themeColor="text1"/>
          <w:sz w:val="22"/>
          <w:szCs w:val="22"/>
          <w:lang w:val="en-GB" w:eastAsia="zh-CN"/>
          <w14:textFill>
            <w14:solidFill>
              <w14:schemeClr w14:val="tx1"/>
            </w14:solidFill>
          </w14:textFill>
        </w:rPr>
        <w:t>.</w:t>
      </w:r>
    </w:p>
    <w:p w14:paraId="3C00CE38">
      <w:pPr>
        <w:pStyle w:val="7"/>
        <w:numPr>
          <w:ilvl w:val="1"/>
          <w:numId w:val="1"/>
        </w:numPr>
        <w:spacing w:after="0"/>
        <w:jc w:val="both"/>
        <w:rPr>
          <w:rFonts w:ascii="Times New Roman" w:hAnsi="Times New Roman" w:cs="Times New Roman"/>
          <w:color w:val="000000" w:themeColor="text1"/>
          <w:sz w:val="22"/>
          <w:szCs w:val="22"/>
          <w:lang w:val="en-GB" w:eastAsia="zh-CN"/>
          <w14:textFill>
            <w14:solidFill>
              <w14:schemeClr w14:val="tx1"/>
            </w14:solidFill>
          </w14:textFill>
        </w:rPr>
      </w:pPr>
      <w:r>
        <w:rPr>
          <w:rFonts w:ascii="Times New Roman" w:hAnsi="Times New Roman" w:cs="Times New Roman"/>
          <w:color w:val="000000" w:themeColor="text1"/>
          <w:sz w:val="22"/>
          <w:szCs w:val="22"/>
          <w:lang w:val="en-GB" w:eastAsia="zh-CN"/>
          <w14:textFill>
            <w14:solidFill>
              <w14:schemeClr w14:val="tx1"/>
            </w14:solidFill>
          </w14:textFill>
        </w:rPr>
        <w:t xml:space="preserve">Where the Sulphur grade is below </w:t>
      </w:r>
      <w:r>
        <w:rPr>
          <w:rFonts w:ascii="Times New Roman" w:hAnsi="Times New Roman" w:cs="Times New Roman"/>
          <w:color w:val="000000" w:themeColor="text1"/>
          <w:sz w:val="22"/>
          <w:szCs w:val="22"/>
          <w:highlight w:val="yellow"/>
          <w:lang w:val="en-GB" w:eastAsia="zh-CN"/>
          <w14:textFill>
            <w14:solidFill>
              <w14:schemeClr w14:val="tx1"/>
            </w14:solidFill>
          </w14:textFill>
        </w:rPr>
        <w:t>99.9%,</w:t>
      </w:r>
      <w:r>
        <w:rPr>
          <w:rFonts w:ascii="Times New Roman" w:hAnsi="Times New Roman" w:cs="Times New Roman"/>
          <w:color w:val="000000" w:themeColor="text1"/>
          <w:sz w:val="22"/>
          <w:szCs w:val="22"/>
          <w:lang w:val="en-GB" w:eastAsia="zh-CN"/>
          <w14:textFill>
            <w14:solidFill>
              <w14:schemeClr w14:val="tx1"/>
            </w14:solidFill>
          </w14:textFill>
        </w:rPr>
        <w:t xml:space="preserve"> the Buyer may reject the lot or accept at a price reduced by an agreed formula. Such price adjustment shall be calculated in accordance with the formula agreed mutually.</w:t>
      </w:r>
    </w:p>
    <w:p w14:paraId="5B1C4570">
      <w:pPr>
        <w:pStyle w:val="7"/>
        <w:numPr>
          <w:ilvl w:val="0"/>
          <w:numId w:val="2"/>
        </w:numPr>
        <w:spacing w:after="0"/>
        <w:ind w:left="360" w:leftChars="0" w:hanging="360" w:firstLineChars="0"/>
        <w:jc w:val="both"/>
        <w:rPr>
          <w:rFonts w:ascii="Times New Roman" w:hAnsi="Times New Roman" w:eastAsia="Times New Roman" w:cs="Times New Roman"/>
          <w:b/>
          <w:bCs/>
          <w:color w:val="000000" w:themeColor="text1"/>
          <w:sz w:val="22"/>
          <w:szCs w:val="22"/>
          <w14:textFill>
            <w14:solidFill>
              <w14:schemeClr w14:val="tx1"/>
            </w14:solidFill>
          </w14:textFill>
        </w:rPr>
      </w:pPr>
      <w:r>
        <w:rPr>
          <w:rFonts w:hint="eastAsia" w:ascii="Times New Roman" w:hAnsi="Times New Roman" w:eastAsia="微软雅黑" w:cs="Times New Roman"/>
          <w:b/>
          <w:bCs/>
          <w:color w:val="000000" w:themeColor="text1"/>
          <w:sz w:val="22"/>
          <w:szCs w:val="22"/>
          <w:lang w:val="en-US" w:eastAsia="zh-CN" w:bidi="ar-SA"/>
          <w14:textFill>
            <w14:solidFill>
              <w14:schemeClr w14:val="tx1"/>
            </w14:solidFill>
          </w14:textFill>
        </w:rPr>
        <w:t>差异、索赔及价格调整</w:t>
      </w:r>
    </w:p>
    <w:p w14:paraId="21901F6A">
      <w:pPr>
        <w:pStyle w:val="7"/>
        <w:numPr>
          <w:ilvl w:val="1"/>
          <w:numId w:val="2"/>
        </w:numPr>
        <w:spacing w:after="0"/>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GB" w:eastAsia="zh-CN" w:bidi="ar-SA"/>
          <w14:textFill>
            <w14:solidFill>
              <w14:schemeClr w14:val="tx1"/>
            </w14:solidFill>
          </w14:textFill>
        </w:rPr>
        <w:t>任何关于质量或数量的索赔均须在目的地复检后</w:t>
      </w: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十</w:t>
      </w:r>
      <w:r>
        <w:rPr>
          <w:rFonts w:hint="eastAsia" w:ascii="Times New Roman" w:hAnsi="Times New Roman" w:eastAsia="微软雅黑" w:cs="Times New Roman"/>
          <w:color w:val="000000" w:themeColor="text1"/>
          <w:sz w:val="22"/>
          <w:szCs w:val="22"/>
          <w:lang w:val="en-GB" w:eastAsia="zh-CN" w:bidi="ar-SA"/>
          <w14:textFill>
            <w14:solidFill>
              <w14:schemeClr w14:val="tx1"/>
            </w14:solidFill>
          </w14:textFill>
        </w:rPr>
        <w:t>(</w:t>
      </w: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10</w:t>
      </w:r>
      <w:r>
        <w:rPr>
          <w:rFonts w:hint="eastAsia" w:ascii="Times New Roman" w:hAnsi="Times New Roman" w:eastAsia="微软雅黑" w:cs="Times New Roman"/>
          <w:color w:val="000000" w:themeColor="text1"/>
          <w:sz w:val="22"/>
          <w:szCs w:val="22"/>
          <w:lang w:val="en-GB" w:eastAsia="zh-CN" w:bidi="ar-SA"/>
          <w14:textFill>
            <w14:solidFill>
              <w14:schemeClr w14:val="tx1"/>
            </w14:solidFill>
          </w14:textFill>
        </w:rPr>
        <w:t>)日内以书面形式提出；若未及时通知，则货物应视为合格。</w:t>
      </w:r>
    </w:p>
    <w:p w14:paraId="64303D5A">
      <w:pPr>
        <w:pStyle w:val="7"/>
        <w:numPr>
          <w:ilvl w:val="1"/>
          <w:numId w:val="2"/>
        </w:numPr>
        <w:spacing w:after="0"/>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GB" w:eastAsia="zh-CN" w:bidi="ar-SA"/>
          <w14:textFill>
            <w14:solidFill>
              <w14:schemeClr w14:val="tx1"/>
            </w14:solidFill>
          </w14:textFill>
        </w:rPr>
        <w:t>若硫含量低于99.9%，买方可拒收该批次货物，或按约定公式折减后的价格接受。此类价格调整应按照双方共同商定的公式计算。</w:t>
      </w:r>
    </w:p>
    <w:p w14:paraId="7ECEE9C9">
      <w:pPr>
        <w:spacing w:after="0"/>
        <w:jc w:val="both"/>
        <w:rPr>
          <w:rFonts w:ascii="Times New Roman" w:hAnsi="Times New Roman" w:cs="Times New Roman"/>
          <w:color w:val="000000" w:themeColor="text1"/>
          <w:sz w:val="22"/>
          <w:szCs w:val="22"/>
          <w14:textFill>
            <w14:solidFill>
              <w14:schemeClr w14:val="tx1"/>
            </w14:solidFill>
          </w14:textFill>
        </w:rPr>
      </w:pPr>
    </w:p>
    <w:p w14:paraId="60EC3FCA">
      <w:pPr>
        <w:pStyle w:val="7"/>
        <w:numPr>
          <w:ilvl w:val="0"/>
          <w:numId w:val="1"/>
        </w:numPr>
        <w:spacing w:after="0"/>
        <w:jc w:val="both"/>
        <w:rPr>
          <w:rFonts w:ascii="Times New Roman" w:hAnsi="Times New Roman" w:eastAsia="Times New Roman" w:cs="Times New Roman"/>
          <w:b/>
          <w:bCs/>
          <w:color w:val="000000" w:themeColor="text1"/>
          <w:sz w:val="22"/>
          <w:szCs w:val="22"/>
          <w14:textFill>
            <w14:solidFill>
              <w14:schemeClr w14:val="tx1"/>
            </w14:solidFill>
          </w14:textFill>
        </w:rPr>
      </w:pPr>
      <w:r>
        <w:rPr>
          <w:rFonts w:ascii="Times New Roman" w:hAnsi="Times New Roman" w:eastAsia="Times New Roman" w:cs="Times New Roman"/>
          <w:b/>
          <w:bCs/>
          <w:color w:val="000000" w:themeColor="text1"/>
          <w:sz w:val="22"/>
          <w:szCs w:val="22"/>
          <w14:textFill>
            <w14:solidFill>
              <w14:schemeClr w14:val="tx1"/>
            </w14:solidFill>
          </w14:textFill>
        </w:rPr>
        <w:t>Title and Passing of Risk</w:t>
      </w:r>
    </w:p>
    <w:p w14:paraId="5CAF3ECF">
      <w:pPr>
        <w:pStyle w:val="7"/>
        <w:numPr>
          <w:ilvl w:val="1"/>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Risk of loss of or damage to the Goods passes in accordance with the selected trade term (Incoterms 2020).</w:t>
      </w:r>
    </w:p>
    <w:p w14:paraId="271633FF">
      <w:pPr>
        <w:pStyle w:val="7"/>
        <w:numPr>
          <w:ilvl w:val="1"/>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Title passes to the Buyer upon the Seller's receipt of payment in full under the L/C. Until then, the Seller retains title.</w:t>
      </w:r>
    </w:p>
    <w:p w14:paraId="4F62515F">
      <w:pPr>
        <w:pStyle w:val="7"/>
        <w:numPr>
          <w:ilvl w:val="0"/>
          <w:numId w:val="2"/>
        </w:numPr>
        <w:spacing w:after="0"/>
        <w:ind w:left="360" w:leftChars="0" w:hanging="360" w:firstLineChars="0"/>
        <w:jc w:val="both"/>
        <w:rPr>
          <w:rFonts w:ascii="Times New Roman" w:hAnsi="Times New Roman" w:eastAsia="Times New Roman" w:cs="Times New Roman"/>
          <w:b/>
          <w:bCs/>
          <w:color w:val="000000" w:themeColor="text1"/>
          <w:sz w:val="22"/>
          <w:szCs w:val="22"/>
          <w14:textFill>
            <w14:solidFill>
              <w14:schemeClr w14:val="tx1"/>
            </w14:solidFill>
          </w14:textFill>
        </w:rPr>
      </w:pPr>
      <w:r>
        <w:rPr>
          <w:rFonts w:hint="eastAsia" w:ascii="Times New Roman" w:hAnsi="Times New Roman" w:eastAsia="微软雅黑" w:cs="Times New Roman"/>
          <w:b/>
          <w:bCs/>
          <w:color w:val="000000" w:themeColor="text1"/>
          <w:sz w:val="22"/>
          <w:szCs w:val="22"/>
          <w:lang w:val="en-US" w:eastAsia="zh-CN" w:bidi="ar-SA"/>
          <w14:textFill>
            <w14:solidFill>
              <w14:schemeClr w14:val="tx1"/>
            </w14:solidFill>
          </w14:textFill>
        </w:rPr>
        <w:t>风险的界定与转移</w:t>
      </w:r>
    </w:p>
    <w:p w14:paraId="3C5BC77F">
      <w:pPr>
        <w:pStyle w:val="7"/>
        <w:numPr>
          <w:ilvl w:val="1"/>
          <w:numId w:val="2"/>
        </w:numPr>
        <w:spacing w:after="0"/>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货物丢失或损坏的风险应按照所选贸易术语（Incoterms 2020）的规定承担。</w:t>
      </w:r>
    </w:p>
    <w:p w14:paraId="36A09310">
      <w:pPr>
        <w:pStyle w:val="7"/>
        <w:numPr>
          <w:ilvl w:val="1"/>
          <w:numId w:val="2"/>
        </w:numPr>
        <w:spacing w:after="0"/>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卖方在收到根据信用证支付的全额款项后，所有权即转移给买方；在此之前，所有权仍由卖方保留。</w:t>
      </w:r>
    </w:p>
    <w:p w14:paraId="13122E32">
      <w:pPr>
        <w:spacing w:after="0"/>
        <w:jc w:val="both"/>
        <w:rPr>
          <w:rFonts w:ascii="Times New Roman" w:hAnsi="Times New Roman" w:cs="Times New Roman"/>
          <w:color w:val="000000" w:themeColor="text1"/>
          <w:sz w:val="22"/>
          <w:szCs w:val="22"/>
          <w14:textFill>
            <w14:solidFill>
              <w14:schemeClr w14:val="tx1"/>
            </w14:solidFill>
          </w14:textFill>
        </w:rPr>
      </w:pPr>
    </w:p>
    <w:p w14:paraId="0EE01385">
      <w:pPr>
        <w:pStyle w:val="7"/>
        <w:numPr>
          <w:ilvl w:val="0"/>
          <w:numId w:val="1"/>
        </w:numPr>
        <w:spacing w:after="0"/>
        <w:jc w:val="both"/>
        <w:rPr>
          <w:rFonts w:ascii="Times New Roman" w:hAnsi="Times New Roman" w:eastAsia="Times New Roman" w:cs="Times New Roman"/>
          <w:b/>
          <w:bCs/>
          <w:color w:val="000000" w:themeColor="text1"/>
          <w:sz w:val="22"/>
          <w:szCs w:val="22"/>
          <w14:textFill>
            <w14:solidFill>
              <w14:schemeClr w14:val="tx1"/>
            </w14:solidFill>
          </w14:textFill>
        </w:rPr>
      </w:pPr>
      <w:r>
        <w:rPr>
          <w:rFonts w:ascii="Times New Roman" w:hAnsi="Times New Roman" w:eastAsia="Times New Roman" w:cs="Times New Roman"/>
          <w:b/>
          <w:bCs/>
          <w:color w:val="000000" w:themeColor="text1"/>
          <w:sz w:val="22"/>
          <w:szCs w:val="22"/>
          <w14:textFill>
            <w14:solidFill>
              <w14:schemeClr w14:val="tx1"/>
            </w14:solidFill>
          </w14:textFill>
        </w:rPr>
        <w:t>Force Majeure</w:t>
      </w:r>
    </w:p>
    <w:p w14:paraId="49B64CBC">
      <w:pPr>
        <w:pStyle w:val="7"/>
        <w:numPr>
          <w:ilvl w:val="1"/>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If a Party is prevented from performing by an event beyond its reasonable foresight, avoidance and control (including war, natural disaster, governmental act, embargo, closure of transport or ports, or epidemic), it shall be exempted to that extent, provided it promptly notifies the other and furnishes a competent authority's certificate within ten (10) days.</w:t>
      </w:r>
    </w:p>
    <w:p w14:paraId="7B6D7C24">
      <w:pPr>
        <w:pStyle w:val="7"/>
        <w:numPr>
          <w:ilvl w:val="1"/>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If force majeure continues for more than sixty (60) days, either Party may terminate by written notice, and neither shall be liable for the resulting non-performance.</w:t>
      </w:r>
    </w:p>
    <w:p w14:paraId="43AFDEFC">
      <w:pPr>
        <w:pStyle w:val="7"/>
        <w:numPr>
          <w:ilvl w:val="0"/>
          <w:numId w:val="2"/>
        </w:numPr>
        <w:spacing w:after="0"/>
        <w:ind w:left="360" w:leftChars="0" w:hanging="360" w:firstLineChars="0"/>
        <w:jc w:val="both"/>
        <w:rPr>
          <w:rFonts w:ascii="Times New Roman" w:hAnsi="Times New Roman" w:eastAsia="Times New Roman" w:cs="Times New Roman"/>
          <w:b/>
          <w:bCs/>
          <w:color w:val="000000" w:themeColor="text1"/>
          <w:sz w:val="22"/>
          <w:szCs w:val="22"/>
          <w14:textFill>
            <w14:solidFill>
              <w14:schemeClr w14:val="tx1"/>
            </w14:solidFill>
          </w14:textFill>
        </w:rPr>
      </w:pPr>
      <w:r>
        <w:rPr>
          <w:rFonts w:hint="eastAsia" w:ascii="Times New Roman" w:hAnsi="Times New Roman" w:eastAsia="微软雅黑" w:cs="Times New Roman"/>
          <w:b/>
          <w:bCs/>
          <w:color w:val="000000" w:themeColor="text1"/>
          <w:sz w:val="22"/>
          <w:szCs w:val="22"/>
          <w:lang w:val="en-US" w:eastAsia="zh-CN" w:bidi="ar-SA"/>
          <w14:textFill>
            <w14:solidFill>
              <w14:schemeClr w14:val="tx1"/>
            </w14:solidFill>
          </w14:textFill>
        </w:rPr>
        <w:t>不可抗力</w:t>
      </w:r>
    </w:p>
    <w:p w14:paraId="1B16DC77">
      <w:pPr>
        <w:pStyle w:val="7"/>
        <w:numPr>
          <w:ilvl w:val="1"/>
          <w:numId w:val="2"/>
        </w:numPr>
        <w:spacing w:after="0"/>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若一方因超出其合理预见、避免及控制范围的事件（包括战争、自然灾害、政府行为、禁运、运输或港口关闭或疫情）而无法履行义务，则在该范围内可获得豁免，但须及时通知另一方并在十（10）日内提供主管机关出具的证明文件。</w:t>
      </w:r>
    </w:p>
    <w:p w14:paraId="2E715767">
      <w:pPr>
        <w:pStyle w:val="7"/>
        <w:numPr>
          <w:ilvl w:val="1"/>
          <w:numId w:val="2"/>
        </w:numPr>
        <w:spacing w:after="0"/>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若不可抗力持续超过六十（60）天，任何一方均可通过书面通知终止合同，且双方均不对由此导致的违约行为承担责任。</w:t>
      </w:r>
    </w:p>
    <w:p w14:paraId="5AF2806C">
      <w:pPr>
        <w:spacing w:after="0"/>
        <w:jc w:val="both"/>
        <w:rPr>
          <w:rFonts w:ascii="Times New Roman" w:hAnsi="Times New Roman" w:cs="Times New Roman"/>
          <w:color w:val="000000" w:themeColor="text1"/>
          <w:sz w:val="22"/>
          <w:szCs w:val="22"/>
          <w14:textFill>
            <w14:solidFill>
              <w14:schemeClr w14:val="tx1"/>
            </w14:solidFill>
          </w14:textFill>
        </w:rPr>
      </w:pPr>
    </w:p>
    <w:p w14:paraId="793F3D72">
      <w:pPr>
        <w:pStyle w:val="7"/>
        <w:numPr>
          <w:ilvl w:val="0"/>
          <w:numId w:val="1"/>
        </w:numPr>
        <w:spacing w:after="0"/>
        <w:jc w:val="both"/>
        <w:rPr>
          <w:rFonts w:ascii="Times New Roman" w:hAnsi="Times New Roman" w:cs="Times New Roman"/>
          <w:b/>
          <w:bCs/>
          <w:color w:val="000000" w:themeColor="text1"/>
          <w:sz w:val="22"/>
          <w:szCs w:val="22"/>
          <w14:textFill>
            <w14:solidFill>
              <w14:schemeClr w14:val="tx1"/>
            </w14:solidFill>
          </w14:textFill>
        </w:rPr>
      </w:pPr>
      <w:r>
        <w:rPr>
          <w:rFonts w:ascii="Times New Roman" w:hAnsi="Times New Roman" w:cs="Times New Roman"/>
          <w:b/>
          <w:bCs/>
          <w:color w:val="000000" w:themeColor="text1"/>
          <w:sz w:val="22"/>
          <w:szCs w:val="22"/>
          <w14:textFill>
            <w14:solidFill>
              <w14:schemeClr w14:val="tx1"/>
            </w14:solidFill>
          </w14:textFill>
        </w:rPr>
        <w:t>Default and Liability</w:t>
      </w:r>
    </w:p>
    <w:p w14:paraId="504C5817">
      <w:pPr>
        <w:pStyle w:val="7"/>
        <w:numPr>
          <w:ilvl w:val="1"/>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 xml:space="preserve">If the Buyer fails to open the L/C within the period specified in Article </w:t>
      </w:r>
      <w:r>
        <w:rPr>
          <w:rFonts w:ascii="Times New Roman" w:hAnsi="Times New Roman" w:cs="Times New Roman"/>
          <w:color w:val="000000" w:themeColor="text1"/>
          <w:sz w:val="22"/>
          <w:szCs w:val="22"/>
          <w:lang w:eastAsia="zh-CN"/>
          <w14:textFill>
            <w14:solidFill>
              <w14:schemeClr w14:val="tx1"/>
            </w14:solidFill>
          </w14:textFill>
        </w:rPr>
        <w:t>7.2</w:t>
      </w:r>
      <w:r>
        <w:rPr>
          <w:rFonts w:ascii="Times New Roman" w:hAnsi="Times New Roman" w:cs="Times New Roman"/>
          <w:color w:val="000000" w:themeColor="text1"/>
          <w:sz w:val="22"/>
          <w:szCs w:val="22"/>
          <w14:textFill>
            <w14:solidFill>
              <w14:schemeClr w14:val="tx1"/>
            </w14:solidFill>
          </w14:textFill>
        </w:rPr>
        <w:t xml:space="preserve">, it shall pay the Seller liquidated damages of 0.05% of the </w:t>
      </w:r>
      <w:r>
        <w:rPr>
          <w:rFonts w:ascii="Times New Roman" w:hAnsi="Times New Roman" w:cs="Times New Roman"/>
          <w:color w:val="000000" w:themeColor="text1"/>
          <w:sz w:val="22"/>
          <w:szCs w:val="22"/>
          <w:lang w:eastAsia="zh-CN"/>
          <w14:textFill>
            <w14:solidFill>
              <w14:schemeClr w14:val="tx1"/>
            </w14:solidFill>
          </w14:textFill>
        </w:rPr>
        <w:t>T</w:t>
      </w:r>
      <w:r>
        <w:rPr>
          <w:rFonts w:ascii="Times New Roman" w:hAnsi="Times New Roman" w:cs="Times New Roman"/>
          <w:color w:val="000000" w:themeColor="text1"/>
          <w:sz w:val="22"/>
          <w:szCs w:val="22"/>
          <w14:textFill>
            <w14:solidFill>
              <w14:schemeClr w14:val="tx1"/>
            </w14:solidFill>
          </w14:textFill>
        </w:rPr>
        <w:t xml:space="preserve">otal </w:t>
      </w:r>
      <w:r>
        <w:rPr>
          <w:rFonts w:ascii="Times New Roman" w:hAnsi="Times New Roman" w:cs="Times New Roman"/>
          <w:color w:val="000000" w:themeColor="text1"/>
          <w:sz w:val="22"/>
          <w:szCs w:val="22"/>
          <w:lang w:eastAsia="zh-CN"/>
          <w14:textFill>
            <w14:solidFill>
              <w14:schemeClr w14:val="tx1"/>
            </w14:solidFill>
          </w14:textFill>
        </w:rPr>
        <w:t>C</w:t>
      </w:r>
      <w:r>
        <w:rPr>
          <w:rFonts w:ascii="Times New Roman" w:hAnsi="Times New Roman" w:cs="Times New Roman"/>
          <w:color w:val="000000" w:themeColor="text1"/>
          <w:sz w:val="22"/>
          <w:szCs w:val="22"/>
          <w14:textFill>
            <w14:solidFill>
              <w14:schemeClr w14:val="tx1"/>
            </w14:solidFill>
          </w14:textFill>
        </w:rPr>
        <w:t>ontract Value for each day of delay, subject to a maximum of 5% of the total contract value. If the delay exceeds thirty (30) days, the Seller may terminate this Agreement and claim damages, unless the Parties mutually agree in writing to extend the relevant deadline without penalty.</w:t>
      </w:r>
    </w:p>
    <w:p w14:paraId="1BDC4133">
      <w:pPr>
        <w:pStyle w:val="7"/>
        <w:numPr>
          <w:ilvl w:val="1"/>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If the Seller fails to deliver by the Latest Delivery Date, it shall pay liquidated damages on the same basis and subject to the same cap. Such compensation shall be satisfied by way of a corresponding reduction in the unit price of the Sulphur, applied to the commercial invoice and to the amount payable / drawn under the L/C, rather than by separate cash payment, unless the Parties agree otherwise in writing. If the delay exceeds thirty (30) days, the Buyer may terminate this Agreement and claim damages, unless the Parties mutually agree in writing to extend the relevant deadline without penalty.</w:t>
      </w:r>
    </w:p>
    <w:p w14:paraId="5BB3F43C">
      <w:pPr>
        <w:pStyle w:val="7"/>
        <w:numPr>
          <w:ilvl w:val="1"/>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liquidated damages in 12.1 and 12.2 are the sole and exclusive remedy for delay prior to termination; termination rights and remedies under Articles 12.1 and 12.2 for delay exceeding thirty (30) days remain unaffected.</w:t>
      </w:r>
    </w:p>
    <w:p w14:paraId="627C2248">
      <w:pPr>
        <w:pStyle w:val="7"/>
        <w:numPr>
          <w:ilvl w:val="0"/>
          <w:numId w:val="2"/>
        </w:numPr>
        <w:spacing w:after="0"/>
        <w:ind w:left="360" w:leftChars="0" w:hanging="360" w:firstLineChars="0"/>
        <w:jc w:val="both"/>
        <w:rPr>
          <w:rFonts w:ascii="Times New Roman" w:hAnsi="Times New Roman" w:cs="Times New Roman"/>
          <w:b/>
          <w:bCs/>
          <w:color w:val="000000" w:themeColor="text1"/>
          <w:sz w:val="22"/>
          <w:szCs w:val="22"/>
          <w14:textFill>
            <w14:solidFill>
              <w14:schemeClr w14:val="tx1"/>
            </w14:solidFill>
          </w14:textFill>
        </w:rPr>
      </w:pPr>
      <w:r>
        <w:rPr>
          <w:rFonts w:hint="eastAsia" w:ascii="Times New Roman" w:hAnsi="Times New Roman" w:eastAsia="微软雅黑" w:cs="Times New Roman"/>
          <w:b/>
          <w:bCs/>
          <w:color w:val="000000" w:themeColor="text1"/>
          <w:sz w:val="22"/>
          <w:szCs w:val="22"/>
          <w:lang w:val="en-US" w:eastAsia="zh-CN" w:bidi="ar-SA"/>
          <w14:textFill>
            <w14:solidFill>
              <w14:schemeClr w14:val="tx1"/>
            </w14:solidFill>
          </w14:textFill>
        </w:rPr>
        <w:t>违约与责任</w:t>
      </w:r>
    </w:p>
    <w:p w14:paraId="47D6B500">
      <w:pPr>
        <w:pStyle w:val="7"/>
        <w:numPr>
          <w:ilvl w:val="1"/>
          <w:numId w:val="2"/>
        </w:numPr>
        <w:spacing w:after="0"/>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若买方未能在第7.2条规定的期限内开立信用证，则应按每日延迟天数支付卖方违约金，金额为合同总价值的0.05%，但最高不得超过合同总价值的5%。若延迟超过三十（30）天，卖方可终止本协议并要求赔偿损失；除非双方书面同意延长相关期限且不收取罚金。</w:t>
      </w:r>
    </w:p>
    <w:p w14:paraId="654C65DC">
      <w:pPr>
        <w:pStyle w:val="7"/>
        <w:numPr>
          <w:ilvl w:val="1"/>
          <w:numId w:val="2"/>
        </w:numPr>
        <w:spacing w:after="0"/>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若卖方未能在最晚交货日期前完成交付，应按相同标准并遵守相同的最高限额支付违约金。该赔偿金应通过相应降低硫磺的单价（适用于商业发票及信用证项下应付/承兑金额）的方式予以支付，而非另行现金支付；除非双方另有书面约定。若延迟超过三十（30）天，买方有权终止本协议并要求赔偿损失，除非双方书面同意延长相关期限且不收取罚金。</w:t>
      </w:r>
    </w:p>
    <w:p w14:paraId="6DB96C9E">
      <w:pPr>
        <w:pStyle w:val="7"/>
        <w:spacing w:after="0"/>
        <w:ind w:left="900"/>
        <w:jc w:val="both"/>
        <w:rPr>
          <w:rFonts w:ascii="Times New Roman" w:hAnsi="Times New Roman" w:cs="Times New Roman"/>
          <w:color w:val="000000" w:themeColor="text1"/>
          <w:sz w:val="22"/>
          <w:szCs w:val="22"/>
          <w:lang w:val="en-GB" w:eastAsia="zh-CN"/>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第12.1条和第12.2条规定的违约金是终止前因延误所适用的唯一且排他性救济措施；对于超过三十（30）天的延误，第12.1条和第12.2条规定的终止权及救济措施仍保持不变。</w:t>
      </w:r>
    </w:p>
    <w:p w14:paraId="10CC77A8">
      <w:pPr>
        <w:pStyle w:val="7"/>
        <w:numPr>
          <w:ilvl w:val="0"/>
          <w:numId w:val="1"/>
        </w:numPr>
        <w:spacing w:after="0"/>
        <w:jc w:val="both"/>
        <w:rPr>
          <w:rFonts w:ascii="Times New Roman" w:hAnsi="Times New Roman" w:cs="Times New Roman"/>
          <w:b/>
          <w:bCs/>
          <w:color w:val="000000" w:themeColor="text1"/>
          <w:sz w:val="22"/>
          <w:szCs w:val="22"/>
          <w14:textFill>
            <w14:solidFill>
              <w14:schemeClr w14:val="tx1"/>
            </w14:solidFill>
          </w14:textFill>
        </w:rPr>
      </w:pPr>
      <w:r>
        <w:rPr>
          <w:rFonts w:ascii="Times New Roman" w:hAnsi="Times New Roman" w:cs="Times New Roman"/>
          <w:b/>
          <w:bCs/>
          <w:color w:val="000000" w:themeColor="text1"/>
          <w:sz w:val="22"/>
          <w:szCs w:val="22"/>
          <w14:textFill>
            <w14:solidFill>
              <w14:schemeClr w14:val="tx1"/>
            </w14:solidFill>
          </w14:textFill>
        </w:rPr>
        <w:t>Governing Law and Dispute Resolution</w:t>
      </w:r>
    </w:p>
    <w:p w14:paraId="56D02746">
      <w:pPr>
        <w:pStyle w:val="7"/>
        <w:numPr>
          <w:ilvl w:val="1"/>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 xml:space="preserve">This Agreement is governed by English </w:t>
      </w:r>
      <w:r>
        <w:rPr>
          <w:rFonts w:ascii="Times New Roman" w:hAnsi="Times New Roman" w:cs="Times New Roman"/>
          <w:color w:val="000000" w:themeColor="text1"/>
          <w:sz w:val="22"/>
          <w:szCs w:val="22"/>
          <w:lang w:eastAsia="zh-CN"/>
          <w14:textFill>
            <w14:solidFill>
              <w14:schemeClr w14:val="tx1"/>
            </w14:solidFill>
          </w14:textFill>
        </w:rPr>
        <w:t>law</w:t>
      </w:r>
      <w:r>
        <w:rPr>
          <w:rFonts w:ascii="Times New Roman" w:hAnsi="Times New Roman" w:cs="Times New Roman"/>
          <w:color w:val="000000" w:themeColor="text1"/>
          <w:sz w:val="22"/>
          <w:szCs w:val="22"/>
          <w14:textFill>
            <w14:solidFill>
              <w14:schemeClr w14:val="tx1"/>
            </w14:solidFill>
          </w14:textFill>
        </w:rPr>
        <w:t>.</w:t>
      </w:r>
    </w:p>
    <w:p w14:paraId="007B445C">
      <w:pPr>
        <w:pStyle w:val="7"/>
        <w:numPr>
          <w:ilvl w:val="1"/>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Disputes shall first be settled by negotiation; failing which, submitted to Singapore International Arbitration Centre (SIAC) under its rules then in force. Seat: Singapore; language: English. The award is final and binding.</w:t>
      </w:r>
    </w:p>
    <w:p w14:paraId="02020127">
      <w:pPr>
        <w:pStyle w:val="7"/>
        <w:numPr>
          <w:ilvl w:val="0"/>
          <w:numId w:val="2"/>
        </w:numPr>
        <w:spacing w:after="0"/>
        <w:ind w:left="360" w:leftChars="0" w:hanging="360" w:firstLineChars="0"/>
        <w:jc w:val="both"/>
        <w:rPr>
          <w:rFonts w:ascii="Times New Roman" w:hAnsi="Times New Roman" w:cs="Times New Roman"/>
          <w:b/>
          <w:bCs/>
          <w:color w:val="000000" w:themeColor="text1"/>
          <w:sz w:val="22"/>
          <w:szCs w:val="22"/>
          <w14:textFill>
            <w14:solidFill>
              <w14:schemeClr w14:val="tx1"/>
            </w14:solidFill>
          </w14:textFill>
        </w:rPr>
      </w:pPr>
      <w:r>
        <w:rPr>
          <w:rFonts w:hint="eastAsia" w:ascii="Times New Roman" w:hAnsi="Times New Roman" w:eastAsia="微软雅黑" w:cs="Times New Roman"/>
          <w:b/>
          <w:bCs/>
          <w:color w:val="000000" w:themeColor="text1"/>
          <w:sz w:val="22"/>
          <w:szCs w:val="22"/>
          <w:lang w:val="en-US" w:eastAsia="zh-CN" w:bidi="ar-SA"/>
          <w14:textFill>
            <w14:solidFill>
              <w14:schemeClr w14:val="tx1"/>
            </w14:solidFill>
          </w14:textFill>
        </w:rPr>
        <w:t>适用法律与争议解决</w:t>
      </w:r>
    </w:p>
    <w:p w14:paraId="4D276684">
      <w:pPr>
        <w:pStyle w:val="7"/>
        <w:numPr>
          <w:ilvl w:val="1"/>
          <w:numId w:val="2"/>
        </w:numPr>
        <w:spacing w:after="0"/>
        <w:ind w:left="900" w:leftChars="0" w:hanging="360" w:firstLineChars="0"/>
        <w:jc w:val="both"/>
        <w:rPr>
          <w:rFonts w:ascii="Times New Roman" w:hAnsi="Times New Roman" w:cs="Times New Roman"/>
          <w:color w:val="000000" w:themeColor="text1"/>
          <w:sz w:val="22"/>
          <w:szCs w:val="22"/>
          <w:highlight w:val="yellow"/>
          <w14:textFill>
            <w14:solidFill>
              <w14:schemeClr w14:val="tx1"/>
            </w14:solidFill>
          </w14:textFill>
        </w:rPr>
      </w:pPr>
      <w:r>
        <w:rPr>
          <w:rFonts w:hint="eastAsia" w:ascii="Times New Roman" w:hAnsi="Times New Roman" w:eastAsia="微软雅黑" w:cs="Times New Roman"/>
          <w:color w:val="000000" w:themeColor="text1"/>
          <w:sz w:val="22"/>
          <w:szCs w:val="22"/>
          <w:highlight w:val="yellow"/>
          <w:lang w:val="en-US" w:eastAsia="zh-CN" w:bidi="ar-SA"/>
          <w14:textFill>
            <w14:solidFill>
              <w14:schemeClr w14:val="tx1"/>
            </w14:solidFill>
          </w14:textFill>
        </w:rPr>
        <w:t>本协议受英国法律管辖。</w:t>
      </w:r>
    </w:p>
    <w:p w14:paraId="397F89D6">
      <w:pPr>
        <w:pStyle w:val="7"/>
        <w:numPr>
          <w:ilvl w:val="1"/>
          <w:numId w:val="2"/>
        </w:numPr>
        <w:spacing w:after="0"/>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争议应首先通过协商解决；若协商不成，则提交新加坡国际仲裁中心（SIAC）依据其现行规则裁决。仲裁地：新加坡；语言：英语。仲裁裁决具有终局效力且具有约束力。</w:t>
      </w:r>
    </w:p>
    <w:p w14:paraId="15C6EA7D">
      <w:pPr>
        <w:pStyle w:val="7"/>
        <w:spacing w:after="0"/>
        <w:ind w:left="900"/>
        <w:jc w:val="both"/>
        <w:rPr>
          <w:rFonts w:ascii="Times New Roman" w:hAnsi="Times New Roman" w:cs="Times New Roman"/>
          <w:color w:val="000000" w:themeColor="text1"/>
          <w:sz w:val="22"/>
          <w:szCs w:val="22"/>
          <w14:textFill>
            <w14:solidFill>
              <w14:schemeClr w14:val="tx1"/>
            </w14:solidFill>
          </w14:textFill>
        </w:rPr>
      </w:pPr>
    </w:p>
    <w:p w14:paraId="14B63483">
      <w:pPr>
        <w:pStyle w:val="7"/>
        <w:numPr>
          <w:ilvl w:val="0"/>
          <w:numId w:val="1"/>
        </w:numPr>
        <w:spacing w:after="0"/>
        <w:jc w:val="both"/>
        <w:rPr>
          <w:rFonts w:ascii="Times New Roman" w:hAnsi="Times New Roman" w:cs="Times New Roman"/>
          <w:b/>
          <w:bCs/>
          <w:color w:val="000000" w:themeColor="text1"/>
          <w:sz w:val="22"/>
          <w:szCs w:val="22"/>
          <w14:textFill>
            <w14:solidFill>
              <w14:schemeClr w14:val="tx1"/>
            </w14:solidFill>
          </w14:textFill>
        </w:rPr>
      </w:pPr>
      <w:r>
        <w:rPr>
          <w:rFonts w:ascii="Times New Roman" w:hAnsi="Times New Roman" w:cs="Times New Roman"/>
          <w:b/>
          <w:bCs/>
          <w:color w:val="000000" w:themeColor="text1"/>
          <w:sz w:val="22"/>
          <w:szCs w:val="22"/>
          <w14:textFill>
            <w14:solidFill>
              <w14:schemeClr w14:val="tx1"/>
            </w14:solidFill>
          </w14:textFill>
        </w:rPr>
        <w:t>Compliance and Currency Control</w:t>
      </w:r>
    </w:p>
    <w:p w14:paraId="1D3F9D77">
      <w:pPr>
        <w:pStyle w:val="7"/>
        <w:numPr>
          <w:ilvl w:val="1"/>
          <w:numId w:val="1"/>
        </w:numPr>
        <w:spacing w:after="0"/>
        <w:jc w:val="both"/>
      </w:pPr>
      <w:r>
        <w:rPr>
          <w:rFonts w:ascii="Times New Roman" w:hAnsi="Times New Roman" w:cs="Times New Roman"/>
          <w:color w:val="000000" w:themeColor="text1"/>
          <w:sz w:val="22"/>
          <w:szCs w:val="22"/>
          <w14:textFill>
            <w14:solidFill>
              <w14:schemeClr w14:val="tx1"/>
            </w14:solidFill>
          </w14:textFill>
        </w:rPr>
        <w:t>Each Party shall comply with applicable laws of its own jurisdictions, including export controls, sanctions, anti-money-laundering and anti-corruption rules, and shall not cause this transaction to breach them. Neither party nor its beneficial owners is a sanctioned / designated person; Goods are not of sanctioned origin; the performing vessel is not sanctioned.</w:t>
      </w:r>
    </w:p>
    <w:p w14:paraId="6964935F">
      <w:pPr>
        <w:pStyle w:val="7"/>
        <w:numPr>
          <w:ilvl w:val="1"/>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If a Party cannot lawfully perform owing to sanctions or export controls, it may suspend the affected obligations without being in breach.</w:t>
      </w:r>
    </w:p>
    <w:p w14:paraId="48C7F5F9">
      <w:pPr>
        <w:pStyle w:val="7"/>
        <w:spacing w:after="0"/>
        <w:ind w:left="900"/>
        <w:jc w:val="both"/>
        <w:rPr>
          <w:rFonts w:ascii="Times New Roman" w:hAnsi="Times New Roman" w:cs="Times New Roman"/>
          <w:color w:val="000000" w:themeColor="text1"/>
          <w:sz w:val="22"/>
          <w:szCs w:val="22"/>
          <w14:textFill>
            <w14:solidFill>
              <w14:schemeClr w14:val="tx1"/>
            </w14:solidFill>
          </w14:textFill>
        </w:rPr>
      </w:pPr>
    </w:p>
    <w:p w14:paraId="4613B847">
      <w:pPr>
        <w:pStyle w:val="7"/>
        <w:numPr>
          <w:ilvl w:val="0"/>
          <w:numId w:val="2"/>
        </w:numPr>
        <w:spacing w:after="0"/>
        <w:ind w:left="360" w:leftChars="0" w:hanging="360" w:firstLineChars="0"/>
        <w:jc w:val="both"/>
        <w:rPr>
          <w:rFonts w:ascii="Times New Roman" w:hAnsi="Times New Roman" w:cs="Times New Roman"/>
          <w:b/>
          <w:bCs/>
          <w:color w:val="000000" w:themeColor="text1"/>
          <w:sz w:val="22"/>
          <w:szCs w:val="22"/>
          <w14:textFill>
            <w14:solidFill>
              <w14:schemeClr w14:val="tx1"/>
            </w14:solidFill>
          </w14:textFill>
        </w:rPr>
      </w:pPr>
      <w:r>
        <w:rPr>
          <w:rFonts w:hint="eastAsia" w:ascii="Times New Roman" w:hAnsi="Times New Roman" w:eastAsia="微软雅黑" w:cs="Times New Roman"/>
          <w:b/>
          <w:bCs/>
          <w:color w:val="000000" w:themeColor="text1"/>
          <w:sz w:val="22"/>
          <w:szCs w:val="22"/>
          <w:lang w:val="en-US" w:eastAsia="zh-CN" w:bidi="ar-SA"/>
          <w14:textFill>
            <w14:solidFill>
              <w14:schemeClr w14:val="tx1"/>
            </w14:solidFill>
          </w14:textFill>
        </w:rPr>
        <w:t>合规性与货币控制</w:t>
      </w:r>
    </w:p>
    <w:p w14:paraId="192F7314">
      <w:pPr>
        <w:pStyle w:val="7"/>
        <w:numPr>
          <w:ilvl w:val="1"/>
          <w:numId w:val="2"/>
        </w:numPr>
        <w:spacing w:after="0"/>
        <w:ind w:left="900" w:leftChars="0" w:hanging="360" w:firstLineChars="0"/>
        <w:jc w:val="both"/>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各方均应遵守其各自司法管辖区适用的法律法规，包括出口管制、制裁措施、反洗钱及反腐败规定，并确保本交易不违反上述规定。双方及其实际控制人均非受制裁/指定实体；货物并非源自受制裁地区；执行运输任务的船舶亦未受到制裁。</w:t>
      </w:r>
    </w:p>
    <w:p w14:paraId="3E68D1A9">
      <w:pPr>
        <w:pStyle w:val="7"/>
        <w:spacing w:after="0"/>
        <w:ind w:left="900"/>
        <w:jc w:val="both"/>
        <w:rPr>
          <w:rFonts w:ascii="Times New Roman" w:hAnsi="Times New Roman" w:cs="Times New Roman"/>
          <w:b/>
          <w:bCs/>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若一方因制裁或出口管制无法依法履行义务，可暂停履行相关义务而不构成违约,</w:t>
      </w:r>
      <w:r>
        <w:rPr>
          <w:rFonts w:ascii="Calibri" w:hAnsi="Calibri" w:eastAsia="微软雅黑"/>
          <w:sz w:val="21"/>
        </w:rPr>
        <w:t>，但须满足以下条件：</w:t>
      </w:r>
      <w:r>
        <w:br w:type="textWrapping"/>
      </w:r>
      <w:r>
        <w:rPr>
          <w:rFonts w:ascii="Calibri" w:hAnsi="Calibri" w:eastAsia="微软雅黑"/>
          <w:sz w:val="21"/>
        </w:rPr>
        <w:t>(a) 暂停方应向另一方提供暂停履行的具体法律依据，包括相关制裁法规及具体条款；</w:t>
      </w:r>
      <w:r>
        <w:br w:type="textWrapping"/>
      </w:r>
      <w:r>
        <w:rPr>
          <w:rFonts w:ascii="Calibri" w:hAnsi="Calibri" w:eastAsia="微软雅黑"/>
          <w:sz w:val="21"/>
        </w:rPr>
        <w:t>(b) 暂停方应尽最大努力在障碍消除后尽快恢复履行；</w:t>
      </w:r>
      <w:r>
        <w:br w:type="textWrapping"/>
      </w:r>
      <w:r>
        <w:rPr>
          <w:rFonts w:ascii="Calibri" w:hAnsi="Calibri" w:eastAsia="微软雅黑"/>
          <w:sz w:val="21"/>
        </w:rPr>
        <w:t>(c) 若暂停持续超过三十（30）天，另一方有权通过书面通知终止本协议</w:t>
      </w:r>
    </w:p>
    <w:p w14:paraId="14A0AB41">
      <w:pPr>
        <w:pStyle w:val="7"/>
        <w:numPr>
          <w:ilvl w:val="0"/>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cs="Times New Roman"/>
          <w:b/>
          <w:bCs/>
          <w:color w:val="000000" w:themeColor="text1"/>
          <w:sz w:val="22"/>
          <w:szCs w:val="22"/>
          <w:lang w:eastAsia="zh-CN"/>
          <w14:textFill>
            <w14:solidFill>
              <w14:schemeClr w14:val="tx1"/>
            </w14:solidFill>
          </w14:textFill>
        </w:rPr>
        <w:t>Con</w:t>
      </w:r>
      <w:r>
        <w:rPr>
          <w:rFonts w:ascii="Times New Roman" w:hAnsi="Times New Roman" w:cs="Times New Roman"/>
          <w:b/>
          <w:bCs/>
          <w:color w:val="000000" w:themeColor="text1"/>
          <w:sz w:val="22"/>
          <w:szCs w:val="22"/>
          <w:lang w:val="en-GB" w:eastAsia="zh-CN"/>
          <w14:textFill>
            <w14:solidFill>
              <w14:schemeClr w14:val="tx1"/>
            </w14:solidFill>
          </w14:textFill>
        </w:rPr>
        <w:t>fidentiality</w:t>
      </w:r>
      <w:r>
        <w:rPr>
          <w:rFonts w:ascii="Times New Roman" w:hAnsi="Times New Roman" w:cs="Times New Roman"/>
          <w:color w:val="000000" w:themeColor="text1"/>
          <w:sz w:val="22"/>
          <w:szCs w:val="22"/>
          <w:lang w:val="en-GB" w:eastAsia="zh-CN"/>
          <w14:textFill>
            <w14:solidFill>
              <w14:schemeClr w14:val="tx1"/>
            </w14:solidFill>
          </w14:textFill>
        </w:rPr>
        <w:br w:type="textWrapping"/>
      </w:r>
      <w:r>
        <w:rPr>
          <w:rFonts w:ascii="Times New Roman" w:hAnsi="Times New Roman" w:cs="Times New Roman"/>
          <w:color w:val="000000" w:themeColor="text1"/>
          <w:sz w:val="22"/>
          <w:szCs w:val="22"/>
          <w14:textFill>
            <w14:solidFill>
              <w14:schemeClr w14:val="tx1"/>
            </w14:solidFill>
          </w14:textFill>
        </w:rPr>
        <w:t>Each Party shall keep the other's commercial and technical information confidential and shall not disclose it without written consent, save as required by law or a competent authority. This Article survives termination for three (3) years.</w:t>
      </w:r>
    </w:p>
    <w:p w14:paraId="5D85B5E1">
      <w:pPr>
        <w:pStyle w:val="7"/>
        <w:numPr>
          <w:ilvl w:val="0"/>
          <w:numId w:val="2"/>
        </w:numPr>
        <w:spacing w:after="0"/>
        <w:ind w:left="36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b/>
          <w:bCs/>
          <w:color w:val="000000" w:themeColor="text1"/>
          <w:sz w:val="22"/>
          <w:szCs w:val="22"/>
          <w:lang w:val="en-GB" w:eastAsia="zh-CN" w:bidi="ar-SA"/>
          <w14:textFill>
            <w14:solidFill>
              <w14:schemeClr w14:val="tx1"/>
            </w14:solidFill>
          </w14:textFill>
        </w:rPr>
        <w:t>保密性</w:t>
      </w:r>
    </w:p>
    <w:p w14:paraId="4C6AFCC1">
      <w:pPr>
        <w:pStyle w:val="7"/>
        <w:numPr>
          <w:ilvl w:val="0"/>
          <w:numId w:val="0"/>
        </w:numPr>
        <w:spacing w:after="0"/>
        <w:ind w:left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各方均应保密对方的商业及技术信息，未经书面同意不得披露，但法律或主管机关另有要求者除外。本条款在合同终止后仍有效持续三年（3年）。</w:t>
      </w:r>
    </w:p>
    <w:p w14:paraId="21AC0A98">
      <w:pPr>
        <w:pStyle w:val="7"/>
        <w:numPr>
          <w:ilvl w:val="0"/>
          <w:numId w:val="0"/>
        </w:numPr>
        <w:spacing w:after="0"/>
        <w:ind w:leftChars="0"/>
        <w:jc w:val="both"/>
        <w:rPr>
          <w:rFonts w:ascii="Times New Roman" w:hAnsi="Times New Roman" w:cs="Times New Roman"/>
          <w:color w:val="000000" w:themeColor="text1"/>
          <w:sz w:val="22"/>
          <w:szCs w:val="22"/>
          <w14:textFill>
            <w14:solidFill>
              <w14:schemeClr w14:val="tx1"/>
            </w14:solidFill>
          </w14:textFill>
        </w:rPr>
      </w:pPr>
    </w:p>
    <w:p w14:paraId="7E5C949F">
      <w:pPr>
        <w:pStyle w:val="7"/>
        <w:spacing w:after="0"/>
        <w:ind w:left="360"/>
        <w:jc w:val="both"/>
        <w:rPr>
          <w:rFonts w:ascii="Times New Roman" w:hAnsi="Times New Roman" w:cs="Times New Roman"/>
          <w:color w:val="000000" w:themeColor="text1"/>
          <w:sz w:val="22"/>
          <w:szCs w:val="22"/>
          <w14:textFill>
            <w14:solidFill>
              <w14:schemeClr w14:val="tx1"/>
            </w14:solidFill>
          </w14:textFill>
        </w:rPr>
      </w:pPr>
    </w:p>
    <w:p w14:paraId="0384F68D">
      <w:pPr>
        <w:pStyle w:val="7"/>
        <w:numPr>
          <w:ilvl w:val="0"/>
          <w:numId w:val="1"/>
        </w:numPr>
        <w:spacing w:after="0"/>
        <w:jc w:val="both"/>
        <w:rPr>
          <w:rFonts w:ascii="Times New Roman" w:hAnsi="Times New Roman" w:cs="Times New Roman"/>
          <w:b/>
          <w:bCs/>
          <w:color w:val="000000" w:themeColor="text1"/>
          <w:sz w:val="22"/>
          <w:szCs w:val="22"/>
          <w14:textFill>
            <w14:solidFill>
              <w14:schemeClr w14:val="tx1"/>
            </w14:solidFill>
          </w14:textFill>
        </w:rPr>
      </w:pPr>
      <w:r>
        <w:rPr>
          <w:rFonts w:ascii="Times New Roman" w:hAnsi="Times New Roman" w:cs="Times New Roman"/>
          <w:b/>
          <w:bCs/>
          <w:color w:val="000000" w:themeColor="text1"/>
          <w:sz w:val="22"/>
          <w:szCs w:val="22"/>
          <w14:textFill>
            <w14:solidFill>
              <w14:schemeClr w14:val="tx1"/>
            </w14:solidFill>
          </w14:textFill>
        </w:rPr>
        <w:t>Broker</w:t>
      </w:r>
    </w:p>
    <w:p w14:paraId="5C1E4C46">
      <w:pPr>
        <w:pStyle w:val="7"/>
        <w:spacing w:after="0"/>
        <w:ind w:left="36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Commissions, if any, payable to intermediaries shall be governed exclusively by a separate NCNDA/IMFPA between the relevant parties and shall create no rights or obligations under this Agreement.</w:t>
      </w:r>
    </w:p>
    <w:p w14:paraId="450D2D01">
      <w:pPr>
        <w:pStyle w:val="7"/>
        <w:spacing w:after="0"/>
        <w:ind w:left="360"/>
        <w:jc w:val="both"/>
        <w:rPr>
          <w:rFonts w:ascii="Times New Roman" w:hAnsi="Times New Roman" w:cs="Times New Roman"/>
          <w:color w:val="000000" w:themeColor="text1"/>
          <w:sz w:val="22"/>
          <w:szCs w:val="22"/>
          <w14:textFill>
            <w14:solidFill>
              <w14:schemeClr w14:val="tx1"/>
            </w14:solidFill>
          </w14:textFill>
        </w:rPr>
      </w:pPr>
    </w:p>
    <w:p w14:paraId="6DB94739">
      <w:pPr>
        <w:pStyle w:val="7"/>
        <w:numPr>
          <w:ilvl w:val="0"/>
          <w:numId w:val="2"/>
        </w:numPr>
        <w:spacing w:after="0"/>
        <w:ind w:left="360" w:leftChars="0" w:hanging="360" w:firstLineChars="0"/>
        <w:jc w:val="both"/>
        <w:rPr>
          <w:rFonts w:ascii="Times New Roman" w:hAnsi="Times New Roman" w:cs="Times New Roman"/>
          <w:b/>
          <w:bCs/>
          <w:color w:val="000000" w:themeColor="text1"/>
          <w:sz w:val="22"/>
          <w:szCs w:val="22"/>
          <w14:textFill>
            <w14:solidFill>
              <w14:schemeClr w14:val="tx1"/>
            </w14:solidFill>
          </w14:textFill>
        </w:rPr>
      </w:pPr>
      <w:r>
        <w:rPr>
          <w:rFonts w:hint="eastAsia" w:ascii="Times New Roman" w:hAnsi="Times New Roman" w:eastAsia="微软雅黑" w:cs="Times New Roman"/>
          <w:b/>
          <w:bCs/>
          <w:color w:val="000000" w:themeColor="text1"/>
          <w:sz w:val="22"/>
          <w:szCs w:val="22"/>
          <w:lang w:val="en-US" w:eastAsia="zh-CN" w:bidi="ar-SA"/>
          <w14:textFill>
            <w14:solidFill>
              <w14:schemeClr w14:val="tx1"/>
            </w14:solidFill>
          </w14:textFill>
        </w:rPr>
        <w:t>经纪人；代理</w:t>
      </w:r>
    </w:p>
    <w:p w14:paraId="7AA8C322">
      <w:pPr>
        <w:pStyle w:val="7"/>
        <w:spacing w:after="0"/>
        <w:ind w:left="360"/>
        <w:jc w:val="both"/>
        <w:rPr>
          <w:rFonts w:hint="eastAsia" w:ascii="Times New Roman" w:hAnsi="Times New Roman" w:eastAsia="宋体" w:cs="Times New Roman"/>
          <w:b/>
          <w:bCs/>
          <w:color w:val="000000" w:themeColor="text1"/>
          <w:sz w:val="22"/>
          <w:szCs w:val="22"/>
          <w:lang w:eastAsia="zh-CN"/>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应付给中介机构的任何佣金均应严格依据相关方之间的单独 NCNDA / IMFPA 条款执行，且不得产生本协议项下的任何权利或义务。</w:t>
      </w:r>
    </w:p>
    <w:p w14:paraId="26190EFE">
      <w:pPr>
        <w:pStyle w:val="7"/>
        <w:spacing w:after="0"/>
        <w:ind w:left="360"/>
        <w:jc w:val="both"/>
        <w:rPr>
          <w:rFonts w:ascii="Times New Roman" w:hAnsi="Times New Roman" w:cs="Times New Roman"/>
          <w:color w:val="000000" w:themeColor="text1"/>
          <w:sz w:val="22"/>
          <w:szCs w:val="22"/>
          <w14:textFill>
            <w14:solidFill>
              <w14:schemeClr w14:val="tx1"/>
            </w14:solidFill>
          </w14:textFill>
        </w:rPr>
      </w:pPr>
    </w:p>
    <w:p w14:paraId="22CBA7F8">
      <w:pPr>
        <w:pStyle w:val="7"/>
        <w:spacing w:after="0"/>
        <w:rPr>
          <w:rFonts w:ascii="Times New Roman" w:hAnsi="Times New Roman" w:cs="Times New Roman"/>
          <w:b/>
          <w:bCs/>
          <w:color w:val="000000" w:themeColor="text1"/>
          <w:sz w:val="22"/>
          <w:szCs w:val="22"/>
          <w14:textFill>
            <w14:solidFill>
              <w14:schemeClr w14:val="tx1"/>
            </w14:solidFill>
          </w14:textFill>
        </w:rPr>
      </w:pPr>
    </w:p>
    <w:p w14:paraId="761BEE36">
      <w:pPr>
        <w:pStyle w:val="7"/>
        <w:numPr>
          <w:ilvl w:val="0"/>
          <w:numId w:val="1"/>
        </w:numPr>
        <w:spacing w:after="0"/>
        <w:jc w:val="both"/>
        <w:rPr>
          <w:rFonts w:ascii="Times New Roman" w:hAnsi="Times New Roman" w:cs="Times New Roman"/>
          <w:b/>
          <w:bCs/>
          <w:color w:val="000000" w:themeColor="text1"/>
          <w:sz w:val="22"/>
          <w:szCs w:val="22"/>
          <w14:textFill>
            <w14:solidFill>
              <w14:schemeClr w14:val="tx1"/>
            </w14:solidFill>
          </w14:textFill>
        </w:rPr>
      </w:pPr>
      <w:r>
        <w:rPr>
          <w:rFonts w:ascii="Times New Roman" w:hAnsi="Times New Roman" w:cs="Times New Roman"/>
          <w:b/>
          <w:bCs/>
          <w:color w:val="000000" w:themeColor="text1"/>
          <w:sz w:val="22"/>
          <w:szCs w:val="22"/>
          <w14:textFill>
            <w14:solidFill>
              <w14:schemeClr w14:val="tx1"/>
            </w14:solidFill>
          </w14:textFill>
        </w:rPr>
        <w:t>Notices</w:t>
      </w:r>
    </w:p>
    <w:p w14:paraId="77F2C0C3">
      <w:pPr>
        <w:pStyle w:val="7"/>
        <w:spacing w:after="0"/>
        <w:ind w:left="36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Notices shall be in writing and sent by email to the stated email addresses below, effective upon actual receipt. Any change of email address shall be notified five (5) business days in advance.</w:t>
      </w:r>
    </w:p>
    <w:p w14:paraId="2D12F9D4">
      <w:pPr>
        <w:pStyle w:val="7"/>
        <w:spacing w:after="0"/>
        <w:ind w:left="360"/>
        <w:jc w:val="both"/>
        <w:rPr>
          <w:rFonts w:ascii="Times New Roman" w:hAnsi="Times New Roman" w:cs="Times New Roman"/>
          <w:color w:val="000000" w:themeColor="text1"/>
          <w:sz w:val="22"/>
          <w:szCs w:val="22"/>
          <w14:textFill>
            <w14:solidFill>
              <w14:schemeClr w14:val="tx1"/>
            </w14:solidFill>
          </w14:textFill>
        </w:rPr>
      </w:pPr>
    </w:p>
    <w:p w14:paraId="59FA4610">
      <w:pPr>
        <w:pStyle w:val="7"/>
        <w:spacing w:after="0"/>
        <w:ind w:left="360"/>
        <w:jc w:val="both"/>
        <w:rPr>
          <w:rFonts w:ascii="Times New Roman" w:hAnsi="Times New Roman" w:cs="Times New Roman"/>
          <w:bCs/>
          <w:color w:val="000000" w:themeColor="text1"/>
          <w:sz w:val="22"/>
          <w:szCs w:val="22"/>
          <w14:textFill>
            <w14:solidFill>
              <w14:schemeClr w14:val="tx1"/>
            </w14:solidFill>
          </w14:textFill>
        </w:rPr>
      </w:pPr>
      <w:r>
        <w:rPr>
          <w:rFonts w:ascii="Times New Roman" w:hAnsi="Times New Roman" w:cs="Times New Roman"/>
          <w:bCs/>
          <w:color w:val="000000" w:themeColor="text1"/>
          <w:sz w:val="22"/>
          <w:szCs w:val="22"/>
          <w14:textFill>
            <w14:solidFill>
              <w14:schemeClr w14:val="tx1"/>
            </w14:solidFill>
          </w14:textFill>
        </w:rPr>
        <w:t>Seller:</w:t>
      </w:r>
    </w:p>
    <w:p w14:paraId="5ABF743D">
      <w:pPr>
        <w:pStyle w:val="7"/>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Name: Nurzhan Aspandiyar</w:t>
      </w:r>
    </w:p>
    <w:p w14:paraId="0D158ADD">
      <w:pPr>
        <w:pStyle w:val="7"/>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Title: Authorised Signatory</w:t>
      </w:r>
    </w:p>
    <w:p w14:paraId="7DDB4177">
      <w:pPr>
        <w:pStyle w:val="7"/>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Email: nurzhan@valorcarbon.com</w:t>
      </w:r>
    </w:p>
    <w:p w14:paraId="6F553848">
      <w:pPr>
        <w:pStyle w:val="7"/>
        <w:spacing w:after="0"/>
        <w:ind w:left="360"/>
        <w:jc w:val="both"/>
        <w:rPr>
          <w:rFonts w:ascii="Times New Roman" w:hAnsi="Times New Roman" w:cs="Times New Roman"/>
          <w:color w:val="000000" w:themeColor="text1"/>
          <w:sz w:val="22"/>
          <w:szCs w:val="22"/>
          <w14:textFill>
            <w14:solidFill>
              <w14:schemeClr w14:val="tx1"/>
            </w14:solidFill>
          </w14:textFill>
        </w:rPr>
      </w:pPr>
    </w:p>
    <w:p w14:paraId="17B6D83B">
      <w:pPr>
        <w:pStyle w:val="7"/>
        <w:spacing w:after="0"/>
        <w:ind w:left="360"/>
        <w:jc w:val="both"/>
        <w:rPr>
          <w:rFonts w:ascii="Times New Roman" w:hAnsi="Times New Roman" w:cs="Times New Roman"/>
          <w:bCs/>
          <w:color w:val="000000" w:themeColor="text1"/>
          <w:sz w:val="22"/>
          <w:szCs w:val="22"/>
          <w14:textFill>
            <w14:solidFill>
              <w14:schemeClr w14:val="tx1"/>
            </w14:solidFill>
          </w14:textFill>
        </w:rPr>
      </w:pPr>
      <w:r>
        <w:rPr>
          <w:rFonts w:ascii="Times New Roman" w:hAnsi="Times New Roman" w:cs="Times New Roman"/>
          <w:bCs/>
          <w:color w:val="000000" w:themeColor="text1"/>
          <w:sz w:val="22"/>
          <w:szCs w:val="22"/>
          <w14:textFill>
            <w14:solidFill>
              <w14:schemeClr w14:val="tx1"/>
            </w14:solidFill>
          </w14:textFill>
        </w:rPr>
        <w:t>Buyer:</w:t>
      </w:r>
    </w:p>
    <w:p w14:paraId="2923DA5B">
      <w:pPr>
        <w:pStyle w:val="7"/>
        <w:spacing w:after="0"/>
        <w:jc w:val="both"/>
        <w:rPr>
          <w:rFonts w:ascii="Times New Roman" w:hAnsi="Times New Roman" w:cs="Times New Roman"/>
          <w:color w:val="000000" w:themeColor="text1"/>
          <w:sz w:val="22"/>
          <w:szCs w:val="22"/>
          <w:highlight w:val="yellow"/>
          <w14:textFill>
            <w14:solidFill>
              <w14:schemeClr w14:val="tx1"/>
            </w14:solidFill>
          </w14:textFill>
        </w:rPr>
      </w:pPr>
      <w:r>
        <w:rPr>
          <w:rFonts w:ascii="Times New Roman" w:hAnsi="Times New Roman" w:cs="Times New Roman"/>
          <w:color w:val="000000" w:themeColor="text1"/>
          <w:sz w:val="22"/>
          <w:szCs w:val="22"/>
          <w:highlight w:val="yellow"/>
          <w14:textFill>
            <w14:solidFill>
              <w14:schemeClr w14:val="tx1"/>
            </w14:solidFill>
          </w14:textFill>
        </w:rPr>
        <w:t>[Name]</w:t>
      </w:r>
    </w:p>
    <w:p w14:paraId="0C809C02">
      <w:pPr>
        <w:pStyle w:val="7"/>
        <w:spacing w:after="0"/>
        <w:jc w:val="both"/>
        <w:rPr>
          <w:rFonts w:ascii="Times New Roman" w:hAnsi="Times New Roman" w:cs="Times New Roman"/>
          <w:color w:val="000000" w:themeColor="text1"/>
          <w:sz w:val="22"/>
          <w:szCs w:val="22"/>
          <w:highlight w:val="yellow"/>
          <w14:textFill>
            <w14:solidFill>
              <w14:schemeClr w14:val="tx1"/>
            </w14:solidFill>
          </w14:textFill>
        </w:rPr>
      </w:pPr>
      <w:r>
        <w:rPr>
          <w:rFonts w:ascii="Times New Roman" w:hAnsi="Times New Roman" w:cs="Times New Roman"/>
          <w:color w:val="000000" w:themeColor="text1"/>
          <w:sz w:val="22"/>
          <w:szCs w:val="22"/>
          <w:highlight w:val="yellow"/>
          <w14:textFill>
            <w14:solidFill>
              <w14:schemeClr w14:val="tx1"/>
            </w14:solidFill>
          </w14:textFill>
        </w:rPr>
        <w:t>[Title]</w:t>
      </w:r>
    </w:p>
    <w:p w14:paraId="29BA57E7">
      <w:pPr>
        <w:pStyle w:val="7"/>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highlight w:val="yellow"/>
          <w14:textFill>
            <w14:solidFill>
              <w14:schemeClr w14:val="tx1"/>
            </w14:solidFill>
          </w14:textFill>
        </w:rPr>
        <w:t>[Email address]</w:t>
      </w:r>
    </w:p>
    <w:p w14:paraId="09F682F1">
      <w:pPr>
        <w:pStyle w:val="7"/>
        <w:numPr>
          <w:ilvl w:val="0"/>
          <w:numId w:val="2"/>
        </w:numPr>
        <w:spacing w:after="0"/>
        <w:ind w:left="360" w:leftChars="0" w:hanging="360" w:firstLineChars="0"/>
        <w:jc w:val="both"/>
        <w:rPr>
          <w:rFonts w:ascii="Times New Roman" w:hAnsi="Times New Roman" w:cs="Times New Roman"/>
          <w:b/>
          <w:bCs/>
          <w:color w:val="000000" w:themeColor="text1"/>
          <w:sz w:val="22"/>
          <w:szCs w:val="22"/>
          <w14:textFill>
            <w14:solidFill>
              <w14:schemeClr w14:val="tx1"/>
            </w14:solidFill>
          </w14:textFill>
        </w:rPr>
      </w:pPr>
      <w:r>
        <w:rPr>
          <w:rFonts w:hint="eastAsia" w:ascii="Times New Roman" w:hAnsi="Times New Roman" w:eastAsia="微软雅黑" w:cs="Times New Roman"/>
          <w:b/>
          <w:bCs/>
          <w:color w:val="000000" w:themeColor="text1"/>
          <w:sz w:val="22"/>
          <w:szCs w:val="22"/>
          <w:lang w:val="en-US" w:eastAsia="zh-CN" w:bidi="ar-SA"/>
          <w14:textFill>
            <w14:solidFill>
              <w14:schemeClr w14:val="tx1"/>
            </w14:solidFill>
          </w14:textFill>
        </w:rPr>
        <w:t>通知</w:t>
      </w:r>
    </w:p>
    <w:p w14:paraId="63ADEFC7">
      <w:pPr>
        <w:pStyle w:val="7"/>
        <w:spacing w:after="0"/>
        <w:ind w:left="360"/>
        <w:jc w:val="both"/>
        <w:rPr>
          <w:rFonts w:hint="eastAsia" w:ascii="Times New Roman" w:hAnsi="Times New Roman" w:eastAsia="宋体" w:cs="Times New Roman"/>
          <w:color w:val="000000" w:themeColor="text1"/>
          <w:sz w:val="22"/>
          <w:szCs w:val="22"/>
          <w:lang w:eastAsia="zh-CN"/>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通知须以书面形式并通过电子邮件发送至下方指定的电子邮箱地址，自实际收到之日起生效。如需变更电子邮箱地址，须提前五(5)个工作日通知。</w:t>
      </w:r>
    </w:p>
    <w:p w14:paraId="193AAB58">
      <w:pPr>
        <w:pStyle w:val="7"/>
        <w:spacing w:after="0"/>
        <w:ind w:left="360"/>
        <w:jc w:val="both"/>
        <w:rPr>
          <w:rFonts w:ascii="Times New Roman" w:hAnsi="Times New Roman" w:cs="Times New Roman"/>
          <w:color w:val="000000" w:themeColor="text1"/>
          <w:sz w:val="22"/>
          <w:szCs w:val="22"/>
          <w14:textFill>
            <w14:solidFill>
              <w14:schemeClr w14:val="tx1"/>
            </w14:solidFill>
          </w14:textFill>
        </w:rPr>
      </w:pPr>
    </w:p>
    <w:p w14:paraId="5F7C35D5">
      <w:pPr>
        <w:pStyle w:val="7"/>
        <w:spacing w:after="0"/>
        <w:ind w:left="360"/>
        <w:jc w:val="both"/>
        <w:rPr>
          <w:rFonts w:hint="eastAsia" w:ascii="Times New Roman" w:hAnsi="Times New Roman" w:eastAsia="宋体" w:cs="Times New Roman"/>
          <w:bCs/>
          <w:color w:val="000000" w:themeColor="text1"/>
          <w:sz w:val="22"/>
          <w:szCs w:val="22"/>
          <w:lang w:eastAsia="zh-CN"/>
          <w14:textFill>
            <w14:solidFill>
              <w14:schemeClr w14:val="tx1"/>
            </w14:solidFill>
          </w14:textFill>
        </w:rPr>
      </w:pPr>
      <w:r>
        <w:rPr>
          <w:rFonts w:hint="eastAsia" w:ascii="Times New Roman" w:hAnsi="Times New Roman" w:eastAsia="微软雅黑" w:cs="Times New Roman"/>
          <w:bCs/>
          <w:color w:val="000000" w:themeColor="text1"/>
          <w:sz w:val="22"/>
          <w:szCs w:val="22"/>
          <w:lang w:val="en-US" w:eastAsia="zh-CN" w:bidi="ar-SA"/>
          <w14:textFill>
            <w14:solidFill>
              <w14:schemeClr w14:val="tx1"/>
            </w14:solidFill>
          </w14:textFill>
        </w:rPr>
        <w:t>卖者:</w:t>
      </w:r>
    </w:p>
    <w:p w14:paraId="7321E041">
      <w:pPr>
        <w:pStyle w:val="7"/>
        <w:spacing w:after="0"/>
        <w:jc w:val="both"/>
        <w:rPr>
          <w:rFonts w:hint="eastAsia" w:ascii="Times New Roman" w:hAnsi="Times New Roman" w:eastAsia="宋体" w:cs="Times New Roman"/>
          <w:color w:val="000000" w:themeColor="text1"/>
          <w:sz w:val="22"/>
          <w:szCs w:val="22"/>
          <w:lang w:eastAsia="zh-CN"/>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姓名：标题：授权签署人</w:t>
      </w:r>
    </w:p>
    <w:p w14:paraId="09A7EEB3">
      <w:pPr>
        <w:pStyle w:val="7"/>
        <w:spacing w:after="0"/>
        <w:jc w:val="both"/>
        <w:rPr>
          <w:rFonts w:hint="eastAsia" w:ascii="Times New Roman" w:hAnsi="Times New Roman" w:eastAsia="宋体" w:cs="Times New Roman"/>
          <w:color w:val="000000" w:themeColor="text1"/>
          <w:sz w:val="22"/>
          <w:szCs w:val="22"/>
          <w:lang w:eastAsia="zh-CN"/>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电子邮件：</w:t>
      </w:r>
    </w:p>
    <w:p w14:paraId="5FD72D13">
      <w:pPr>
        <w:pStyle w:val="7"/>
        <w:spacing w:after="0"/>
        <w:ind w:left="360"/>
        <w:jc w:val="both"/>
        <w:rPr>
          <w:rFonts w:ascii="Times New Roman" w:hAnsi="Times New Roman" w:cs="Times New Roman"/>
          <w:color w:val="000000" w:themeColor="text1"/>
          <w:sz w:val="22"/>
          <w:szCs w:val="22"/>
          <w14:textFill>
            <w14:solidFill>
              <w14:schemeClr w14:val="tx1"/>
            </w14:solidFill>
          </w14:textFill>
        </w:rPr>
      </w:pPr>
    </w:p>
    <w:p w14:paraId="43C07705">
      <w:pPr>
        <w:pStyle w:val="7"/>
        <w:spacing w:after="0"/>
        <w:ind w:left="360"/>
        <w:jc w:val="both"/>
        <w:rPr>
          <w:rFonts w:hint="eastAsia" w:ascii="Times New Roman" w:hAnsi="Times New Roman" w:eastAsia="宋体" w:cs="Times New Roman"/>
          <w:bCs/>
          <w:color w:val="000000" w:themeColor="text1"/>
          <w:sz w:val="22"/>
          <w:szCs w:val="22"/>
          <w:lang w:eastAsia="zh-CN"/>
          <w14:textFill>
            <w14:solidFill>
              <w14:schemeClr w14:val="tx1"/>
            </w14:solidFill>
          </w14:textFill>
        </w:rPr>
      </w:pPr>
      <w:r>
        <w:rPr>
          <w:rFonts w:hint="eastAsia" w:ascii="Times New Roman" w:hAnsi="Times New Roman" w:eastAsia="微软雅黑" w:cs="Times New Roman"/>
          <w:bCs/>
          <w:color w:val="000000" w:themeColor="text1"/>
          <w:sz w:val="22"/>
          <w:szCs w:val="22"/>
          <w:lang w:val="en-US" w:eastAsia="zh-CN" w:bidi="ar-SA"/>
          <w14:textFill>
            <w14:solidFill>
              <w14:schemeClr w14:val="tx1"/>
            </w14:solidFill>
          </w14:textFill>
        </w:rPr>
        <w:t>买家：</w:t>
      </w:r>
    </w:p>
    <w:p w14:paraId="1AB1B3EB">
      <w:pPr>
        <w:pStyle w:val="7"/>
        <w:spacing w:after="0"/>
        <w:jc w:val="both"/>
        <w:rPr>
          <w:rFonts w:hint="eastAsia" w:ascii="Times New Roman" w:hAnsi="Times New Roman" w:eastAsia="宋体" w:cs="Times New Roman"/>
          <w:color w:val="000000" w:themeColor="text1"/>
          <w:sz w:val="22"/>
          <w:szCs w:val="22"/>
          <w:highlight w:val="yellow"/>
          <w:lang w:eastAsia="zh-CN"/>
          <w14:textFill>
            <w14:solidFill>
              <w14:schemeClr w14:val="tx1"/>
            </w14:solidFill>
          </w14:textFill>
        </w:rPr>
      </w:pPr>
      <w:r>
        <w:rPr>
          <w:rFonts w:hint="eastAsia" w:ascii="Times New Roman" w:hAnsi="Times New Roman" w:eastAsia="微软雅黑" w:cs="Times New Roman"/>
          <w:color w:val="000000" w:themeColor="text1"/>
          <w:sz w:val="22"/>
          <w:szCs w:val="22"/>
          <w:highlight w:val="yellow"/>
          <w:lang w:val="en-US" w:eastAsia="zh-CN" w:bidi="ar-SA"/>
          <w14:textFill>
            <w14:solidFill>
              <w14:schemeClr w14:val="tx1"/>
            </w14:solidFill>
          </w14:textFill>
        </w:rPr>
        <w:t>[姓名]</w:t>
      </w:r>
    </w:p>
    <w:p w14:paraId="7C7FDC70">
      <w:pPr>
        <w:pStyle w:val="7"/>
        <w:spacing w:after="0"/>
        <w:jc w:val="both"/>
        <w:rPr>
          <w:rFonts w:hint="eastAsia" w:ascii="Times New Roman" w:hAnsi="Times New Roman" w:eastAsia="宋体" w:cs="Times New Roman"/>
          <w:color w:val="000000" w:themeColor="text1"/>
          <w:sz w:val="22"/>
          <w:szCs w:val="22"/>
          <w:highlight w:val="yellow"/>
          <w:lang w:eastAsia="zh-CN"/>
          <w14:textFill>
            <w14:solidFill>
              <w14:schemeClr w14:val="tx1"/>
            </w14:solidFill>
          </w14:textFill>
        </w:rPr>
      </w:pPr>
      <w:r>
        <w:rPr>
          <w:rFonts w:hint="eastAsia" w:ascii="Times New Roman" w:hAnsi="Times New Roman" w:eastAsia="微软雅黑" w:cs="Times New Roman"/>
          <w:color w:val="000000" w:themeColor="text1"/>
          <w:sz w:val="22"/>
          <w:szCs w:val="22"/>
          <w:highlight w:val="yellow"/>
          <w:lang w:val="en-US" w:eastAsia="zh-CN" w:bidi="ar-SA"/>
          <w14:textFill>
            <w14:solidFill>
              <w14:schemeClr w14:val="tx1"/>
            </w14:solidFill>
          </w14:textFill>
        </w:rPr>
        <w:t>[标题]</w:t>
      </w:r>
    </w:p>
    <w:p w14:paraId="5825FF30">
      <w:pPr>
        <w:pStyle w:val="7"/>
        <w:spacing w:after="0"/>
        <w:jc w:val="both"/>
        <w:rPr>
          <w:rFonts w:hint="eastAsia" w:ascii="Times New Roman" w:hAnsi="Times New Roman" w:eastAsia="宋体" w:cs="Times New Roman"/>
          <w:color w:val="000000" w:themeColor="text1"/>
          <w:sz w:val="22"/>
          <w:szCs w:val="22"/>
          <w:lang w:eastAsia="zh-CN"/>
          <w14:textFill>
            <w14:solidFill>
              <w14:schemeClr w14:val="tx1"/>
            </w14:solidFill>
          </w14:textFill>
        </w:rPr>
      </w:pPr>
      <w:r>
        <w:rPr>
          <w:rFonts w:hint="eastAsia" w:ascii="Times New Roman" w:hAnsi="Times New Roman" w:eastAsia="微软雅黑" w:cs="Times New Roman"/>
          <w:color w:val="000000" w:themeColor="text1"/>
          <w:sz w:val="22"/>
          <w:szCs w:val="22"/>
          <w:highlight w:val="yellow"/>
          <w:lang w:val="en-US" w:eastAsia="zh-CN" w:bidi="ar-SA"/>
          <w14:textFill>
            <w14:solidFill>
              <w14:schemeClr w14:val="tx1"/>
            </w14:solidFill>
          </w14:textFill>
        </w:rPr>
        <w:t>[电子邮件地址]</w:t>
      </w:r>
    </w:p>
    <w:p w14:paraId="7DBE3264">
      <w:pPr>
        <w:pStyle w:val="7"/>
        <w:numPr>
          <w:ilvl w:val="0"/>
          <w:numId w:val="2"/>
        </w:numPr>
        <w:spacing w:after="0"/>
        <w:ind w:left="360" w:leftChars="0" w:hanging="360" w:firstLineChars="0"/>
        <w:jc w:val="both"/>
        <w:rPr>
          <w:rFonts w:ascii="Times New Roman" w:hAnsi="Times New Roman" w:cs="Times New Roman"/>
          <w:b/>
          <w:bCs/>
          <w:color w:val="000000" w:themeColor="text1"/>
          <w:sz w:val="22"/>
          <w:szCs w:val="22"/>
          <w14:textFill>
            <w14:solidFill>
              <w14:schemeClr w14:val="tx1"/>
            </w14:solidFill>
          </w14:textFill>
        </w:rPr>
      </w:pPr>
      <w:r>
        <w:rPr>
          <w:rFonts w:hint="eastAsia" w:ascii="Times New Roman" w:hAnsi="Times New Roman" w:eastAsia="微软雅黑" w:cs="Times New Roman"/>
          <w:b/>
          <w:bCs/>
          <w:color w:val="000000" w:themeColor="text1"/>
          <w:sz w:val="22"/>
          <w:szCs w:val="22"/>
          <w:lang w:val="en-US" w:eastAsia="zh-CN" w:bidi="ar-SA"/>
          <w14:textFill>
            <w14:solidFill>
              <w14:schemeClr w14:val="tx1"/>
            </w14:solidFill>
          </w14:textFill>
        </w:rPr>
        <w:t>通知</w:t>
      </w:r>
    </w:p>
    <w:p w14:paraId="0B13AE7D">
      <w:pPr>
        <w:pStyle w:val="7"/>
        <w:spacing w:after="0"/>
        <w:ind w:left="360"/>
        <w:jc w:val="both"/>
        <w:rPr>
          <w:rFonts w:hint="eastAsia" w:ascii="Times New Roman" w:hAnsi="Times New Roman" w:eastAsia="宋体" w:cs="Times New Roman"/>
          <w:color w:val="000000" w:themeColor="text1"/>
          <w:sz w:val="22"/>
          <w:szCs w:val="22"/>
          <w:lang w:eastAsia="zh-CN"/>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通知须以书面形式并通过电子邮件发送至下方指定的电子邮箱地址，自实际收到之日起生效。如需变更电子邮箱地址，须提前五(5)个工作日通知。</w:t>
      </w:r>
    </w:p>
    <w:p w14:paraId="4EF75643">
      <w:pPr>
        <w:pStyle w:val="7"/>
        <w:spacing w:after="0"/>
        <w:ind w:left="360"/>
        <w:jc w:val="both"/>
        <w:rPr>
          <w:rFonts w:ascii="Times New Roman" w:hAnsi="Times New Roman" w:cs="Times New Roman"/>
          <w:color w:val="000000" w:themeColor="text1"/>
          <w:sz w:val="22"/>
          <w:szCs w:val="22"/>
          <w14:textFill>
            <w14:solidFill>
              <w14:schemeClr w14:val="tx1"/>
            </w14:solidFill>
          </w14:textFill>
        </w:rPr>
      </w:pPr>
    </w:p>
    <w:p w14:paraId="3B45121D">
      <w:pPr>
        <w:pStyle w:val="7"/>
        <w:spacing w:after="0"/>
        <w:ind w:left="360"/>
        <w:jc w:val="both"/>
        <w:rPr>
          <w:rFonts w:hint="eastAsia" w:ascii="Times New Roman" w:hAnsi="Times New Roman" w:eastAsia="宋体" w:cs="Times New Roman"/>
          <w:bCs/>
          <w:color w:val="000000" w:themeColor="text1"/>
          <w:sz w:val="22"/>
          <w:szCs w:val="22"/>
          <w:lang w:eastAsia="zh-CN"/>
          <w14:textFill>
            <w14:solidFill>
              <w14:schemeClr w14:val="tx1"/>
            </w14:solidFill>
          </w14:textFill>
        </w:rPr>
      </w:pPr>
      <w:r>
        <w:rPr>
          <w:rFonts w:hint="eastAsia" w:ascii="Times New Roman" w:hAnsi="Times New Roman" w:eastAsia="微软雅黑" w:cs="Times New Roman"/>
          <w:bCs/>
          <w:color w:val="000000" w:themeColor="text1"/>
          <w:sz w:val="22"/>
          <w:szCs w:val="22"/>
          <w:lang w:val="en-US" w:eastAsia="zh-CN" w:bidi="ar-SA"/>
          <w14:textFill>
            <w14:solidFill>
              <w14:schemeClr w14:val="tx1"/>
            </w14:solidFill>
          </w14:textFill>
        </w:rPr>
        <w:t>卖者:</w:t>
      </w:r>
    </w:p>
    <w:p w14:paraId="3820D69A">
      <w:pPr>
        <w:pStyle w:val="7"/>
        <w:spacing w:after="0"/>
        <w:jc w:val="both"/>
        <w:rPr>
          <w:rFonts w:hint="eastAsia" w:ascii="Times New Roman" w:hAnsi="Times New Roman" w:eastAsia="宋体" w:cs="Times New Roman"/>
          <w:color w:val="000000" w:themeColor="text1"/>
          <w:sz w:val="22"/>
          <w:szCs w:val="22"/>
          <w:lang w:eastAsia="zh-CN"/>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姓名：</w:t>
      </w:r>
    </w:p>
    <w:p w14:paraId="4F960E75">
      <w:pPr>
        <w:pStyle w:val="7"/>
        <w:spacing w:after="0"/>
        <w:jc w:val="both"/>
        <w:rPr>
          <w:rFonts w:hint="eastAsia" w:ascii="Times New Roman" w:hAnsi="Times New Roman" w:eastAsia="宋体" w:cs="Times New Roman"/>
          <w:color w:val="000000" w:themeColor="text1"/>
          <w:sz w:val="22"/>
          <w:szCs w:val="22"/>
          <w:lang w:eastAsia="zh-CN"/>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标题：授权签署人</w:t>
      </w:r>
    </w:p>
    <w:p w14:paraId="3FD20E76">
      <w:pPr>
        <w:pStyle w:val="7"/>
        <w:spacing w:after="0"/>
        <w:jc w:val="both"/>
        <w:rPr>
          <w:rFonts w:hint="eastAsia" w:ascii="Times New Roman" w:hAnsi="Times New Roman" w:eastAsia="宋体" w:cs="Times New Roman"/>
          <w:color w:val="000000" w:themeColor="text1"/>
          <w:sz w:val="22"/>
          <w:szCs w:val="22"/>
          <w:lang w:eastAsia="zh-CN"/>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电子邮件：</w:t>
      </w:r>
    </w:p>
    <w:p w14:paraId="6B4C2A71">
      <w:pPr>
        <w:pStyle w:val="7"/>
        <w:spacing w:after="0"/>
        <w:ind w:left="360"/>
        <w:jc w:val="both"/>
        <w:rPr>
          <w:rFonts w:ascii="Times New Roman" w:hAnsi="Times New Roman" w:cs="Times New Roman"/>
          <w:color w:val="000000" w:themeColor="text1"/>
          <w:sz w:val="22"/>
          <w:szCs w:val="22"/>
          <w14:textFill>
            <w14:solidFill>
              <w14:schemeClr w14:val="tx1"/>
            </w14:solidFill>
          </w14:textFill>
        </w:rPr>
      </w:pPr>
    </w:p>
    <w:p w14:paraId="24AECADA">
      <w:pPr>
        <w:pStyle w:val="7"/>
        <w:spacing w:after="0"/>
        <w:ind w:left="360"/>
        <w:jc w:val="both"/>
        <w:rPr>
          <w:rFonts w:hint="eastAsia" w:ascii="Times New Roman" w:hAnsi="Times New Roman" w:eastAsia="宋体" w:cs="Times New Roman"/>
          <w:bCs/>
          <w:color w:val="000000" w:themeColor="text1"/>
          <w:sz w:val="22"/>
          <w:szCs w:val="22"/>
          <w:lang w:eastAsia="zh-CN"/>
          <w14:textFill>
            <w14:solidFill>
              <w14:schemeClr w14:val="tx1"/>
            </w14:solidFill>
          </w14:textFill>
        </w:rPr>
      </w:pPr>
      <w:r>
        <w:rPr>
          <w:rFonts w:hint="eastAsia" w:ascii="Times New Roman" w:hAnsi="Times New Roman" w:eastAsia="微软雅黑" w:cs="Times New Roman"/>
          <w:bCs/>
          <w:color w:val="000000" w:themeColor="text1"/>
          <w:sz w:val="22"/>
          <w:szCs w:val="22"/>
          <w:lang w:val="en-US" w:eastAsia="zh-CN" w:bidi="ar-SA"/>
          <w14:textFill>
            <w14:solidFill>
              <w14:schemeClr w14:val="tx1"/>
            </w14:solidFill>
          </w14:textFill>
        </w:rPr>
        <w:t>买家：</w:t>
      </w:r>
    </w:p>
    <w:p w14:paraId="05D292AA">
      <w:pPr>
        <w:pStyle w:val="7"/>
        <w:spacing w:after="0"/>
        <w:jc w:val="both"/>
        <w:rPr>
          <w:rFonts w:hint="eastAsia" w:ascii="Times New Roman" w:hAnsi="Times New Roman" w:eastAsia="宋体" w:cs="Times New Roman"/>
          <w:color w:val="000000" w:themeColor="text1"/>
          <w:sz w:val="22"/>
          <w:szCs w:val="22"/>
          <w:highlight w:val="yellow"/>
          <w:lang w:eastAsia="zh-CN"/>
          <w14:textFill>
            <w14:solidFill>
              <w14:schemeClr w14:val="tx1"/>
            </w14:solidFill>
          </w14:textFill>
        </w:rPr>
      </w:pPr>
      <w:r>
        <w:rPr>
          <w:rFonts w:hint="eastAsia" w:ascii="Times New Roman" w:hAnsi="Times New Roman" w:eastAsia="微软雅黑" w:cs="Times New Roman"/>
          <w:color w:val="000000" w:themeColor="text1"/>
          <w:sz w:val="22"/>
          <w:szCs w:val="22"/>
          <w:highlight w:val="yellow"/>
          <w:lang w:val="en-US" w:eastAsia="zh-CN" w:bidi="ar-SA"/>
          <w14:textFill>
            <w14:solidFill>
              <w14:schemeClr w14:val="tx1"/>
            </w14:solidFill>
          </w14:textFill>
        </w:rPr>
        <w:t>[姓名]</w:t>
      </w:r>
    </w:p>
    <w:p w14:paraId="686CC037">
      <w:pPr>
        <w:pStyle w:val="7"/>
        <w:spacing w:after="0"/>
        <w:jc w:val="both"/>
        <w:rPr>
          <w:rFonts w:hint="eastAsia" w:ascii="Times New Roman" w:hAnsi="Times New Roman" w:eastAsia="宋体" w:cs="Times New Roman"/>
          <w:color w:val="000000" w:themeColor="text1"/>
          <w:sz w:val="22"/>
          <w:szCs w:val="22"/>
          <w:highlight w:val="yellow"/>
          <w:lang w:eastAsia="zh-CN"/>
          <w14:textFill>
            <w14:solidFill>
              <w14:schemeClr w14:val="tx1"/>
            </w14:solidFill>
          </w14:textFill>
        </w:rPr>
      </w:pPr>
      <w:r>
        <w:rPr>
          <w:rFonts w:hint="eastAsia" w:ascii="Times New Roman" w:hAnsi="Times New Roman" w:eastAsia="微软雅黑" w:cs="Times New Roman"/>
          <w:color w:val="000000" w:themeColor="text1"/>
          <w:sz w:val="22"/>
          <w:szCs w:val="22"/>
          <w:highlight w:val="yellow"/>
          <w:lang w:val="en-US" w:eastAsia="zh-CN" w:bidi="ar-SA"/>
          <w14:textFill>
            <w14:solidFill>
              <w14:schemeClr w14:val="tx1"/>
            </w14:solidFill>
          </w14:textFill>
        </w:rPr>
        <w:t>[标题]</w:t>
      </w:r>
    </w:p>
    <w:p w14:paraId="5E5301FF">
      <w:pPr>
        <w:pStyle w:val="7"/>
        <w:spacing w:after="0"/>
        <w:jc w:val="both"/>
        <w:rPr>
          <w:rFonts w:hint="eastAsia" w:ascii="Times New Roman" w:hAnsi="Times New Roman" w:eastAsia="宋体" w:cs="Times New Roman"/>
          <w:color w:val="000000" w:themeColor="text1"/>
          <w:sz w:val="22"/>
          <w:szCs w:val="22"/>
          <w:lang w:eastAsia="zh-CN"/>
          <w14:textFill>
            <w14:solidFill>
              <w14:schemeClr w14:val="tx1"/>
            </w14:solidFill>
          </w14:textFill>
        </w:rPr>
      </w:pPr>
      <w:r>
        <w:rPr>
          <w:rFonts w:hint="eastAsia" w:ascii="Times New Roman" w:hAnsi="Times New Roman" w:eastAsia="微软雅黑" w:cs="Times New Roman"/>
          <w:color w:val="000000" w:themeColor="text1"/>
          <w:sz w:val="22"/>
          <w:szCs w:val="22"/>
          <w:highlight w:val="yellow"/>
          <w:lang w:val="en-US" w:eastAsia="zh-CN" w:bidi="ar-SA"/>
          <w14:textFill>
            <w14:solidFill>
              <w14:schemeClr w14:val="tx1"/>
            </w14:solidFill>
          </w14:textFill>
        </w:rPr>
        <w:t>[电子邮件地址]</w:t>
      </w:r>
    </w:p>
    <w:p w14:paraId="02B3CBE1">
      <w:pPr>
        <w:spacing w:after="0"/>
        <w:jc w:val="both"/>
        <w:rPr>
          <w:rFonts w:ascii="Times New Roman" w:hAnsi="Times New Roman" w:cs="Times New Roman"/>
          <w:color w:val="000000" w:themeColor="text1"/>
          <w:sz w:val="22"/>
          <w:szCs w:val="22"/>
          <w14:textFill>
            <w14:solidFill>
              <w14:schemeClr w14:val="tx1"/>
            </w14:solidFill>
          </w14:textFill>
        </w:rPr>
      </w:pPr>
    </w:p>
    <w:p w14:paraId="1756BFA8">
      <w:pPr>
        <w:pStyle w:val="7"/>
        <w:numPr>
          <w:ilvl w:val="0"/>
          <w:numId w:val="1"/>
        </w:numPr>
        <w:spacing w:after="0"/>
        <w:jc w:val="both"/>
        <w:rPr>
          <w:rFonts w:ascii="Times New Roman" w:hAnsi="Times New Roman" w:cs="Times New Roman"/>
          <w:b/>
          <w:bCs/>
          <w:color w:val="000000" w:themeColor="text1"/>
          <w:sz w:val="22"/>
          <w:szCs w:val="22"/>
          <w14:textFill>
            <w14:solidFill>
              <w14:schemeClr w14:val="tx1"/>
            </w14:solidFill>
          </w14:textFill>
        </w:rPr>
      </w:pPr>
      <w:r>
        <w:rPr>
          <w:rFonts w:ascii="Times New Roman" w:hAnsi="Times New Roman" w:cs="Times New Roman"/>
          <w:b/>
          <w:bCs/>
          <w:color w:val="000000" w:themeColor="text1"/>
          <w:sz w:val="22"/>
          <w:szCs w:val="22"/>
          <w14:textFill>
            <w14:solidFill>
              <w14:schemeClr w14:val="tx1"/>
            </w14:solidFill>
          </w14:textFill>
        </w:rPr>
        <w:t>Miscellaneous</w:t>
      </w:r>
    </w:p>
    <w:p w14:paraId="5B58B695">
      <w:pPr>
        <w:pStyle w:val="7"/>
        <w:numPr>
          <w:ilvl w:val="1"/>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Assignment: Neither Party may assign its rights or obligations without the other's prior written consent.</w:t>
      </w:r>
    </w:p>
    <w:p w14:paraId="756152A2">
      <w:pPr>
        <w:pStyle w:val="7"/>
        <w:numPr>
          <w:ilvl w:val="1"/>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Amendment: Any amendment or supplement shall be valid only if made in writing and signed by both Parties.</w:t>
      </w:r>
    </w:p>
    <w:p w14:paraId="31AC0F42">
      <w:pPr>
        <w:pStyle w:val="7"/>
        <w:numPr>
          <w:ilvl w:val="1"/>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Entire Agreement: This Agreement constitutes the entire agreement on its subject matter and supersedes all prior understandings, offers and correspondence.</w:t>
      </w:r>
    </w:p>
    <w:p w14:paraId="30D21AF0">
      <w:pPr>
        <w:pStyle w:val="7"/>
        <w:numPr>
          <w:ilvl w:val="1"/>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Severability: If any provision is invalid or unenforceable, the remaining provisions remain in full force.</w:t>
      </w:r>
    </w:p>
    <w:p w14:paraId="0760395D">
      <w:pPr>
        <w:pStyle w:val="7"/>
        <w:numPr>
          <w:ilvl w:val="1"/>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 xml:space="preserve">Language: </w:t>
      </w:r>
      <w:r>
        <w:rPr>
          <w:rFonts w:hint="eastAsia" w:ascii="Times New Roman" w:hAnsi="Times New Roman" w:cs="Times New Roman"/>
          <w:color w:val="000000" w:themeColor="text1"/>
          <w:sz w:val="22"/>
          <w:szCs w:val="22"/>
          <w14:textFill>
            <w14:solidFill>
              <w14:schemeClr w14:val="tx1"/>
            </w14:solidFill>
          </w14:textFill>
        </w:rPr>
        <w:t>This agreement is signed in both Chinese and English versions.</w:t>
      </w:r>
      <w:r>
        <w:rPr>
          <w:rFonts w:ascii="Times New Roman" w:hAnsi="Times New Roman" w:cs="Times New Roman"/>
          <w:color w:val="000000" w:themeColor="text1"/>
          <w:sz w:val="22"/>
          <w:szCs w:val="22"/>
          <w14:textFill>
            <w14:solidFill>
              <w14:schemeClr w14:val="tx1"/>
            </w14:solidFill>
          </w14:textFill>
        </w:rPr>
        <w:t>both versions are equally authentic, and in case of discrepancy the English version shall prevail</w:t>
      </w:r>
      <w:r>
        <w:rPr>
          <w:rFonts w:hint="eastAsia" w:ascii="Times New Roman" w:hAnsi="Times New Roman" w:cs="Times New Roman"/>
          <w:color w:val="000000" w:themeColor="text1"/>
          <w:sz w:val="22"/>
          <w:szCs w:val="22"/>
          <w:lang w:val="en-US" w:eastAsia="zh-CN"/>
          <w14:textFill>
            <w14:solidFill>
              <w14:schemeClr w14:val="tx1"/>
            </w14:solidFill>
          </w14:textFill>
        </w:rPr>
        <w:t>,</w:t>
      </w:r>
      <w:r>
        <w:rPr>
          <w:rFonts w:ascii="Times New Roman" w:hAnsi="Times New Roman" w:cs="Times New Roman"/>
          <w:color w:val="000000" w:themeColor="text1"/>
          <w:sz w:val="22"/>
          <w:szCs w:val="22"/>
          <w14:textFill>
            <w14:solidFill>
              <w14:schemeClr w14:val="tx1"/>
            </w14:solidFill>
          </w14:textFill>
        </w:rPr>
        <w:t>.</w:t>
      </w:r>
    </w:p>
    <w:p w14:paraId="2B8F7F54">
      <w:pPr>
        <w:pStyle w:val="7"/>
        <w:numPr>
          <w:ilvl w:val="1"/>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Counterparts: This Agreement may be executed in counterparts, and signatures transmitted electronically or by scanned copy shall be valid and binding as originals.</w:t>
      </w:r>
    </w:p>
    <w:p w14:paraId="7CAE5956">
      <w:pPr>
        <w:pStyle w:val="7"/>
        <w:numPr>
          <w:ilvl w:val="1"/>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No failure or delay in exercising any right shall operate as a waiver, and no single or partial exercise shall preclude any further exercise. No waiver is effective unless in writing.</w:t>
      </w:r>
    </w:p>
    <w:p w14:paraId="6C92D67D">
      <w:pPr>
        <w:pStyle w:val="7"/>
        <w:numPr>
          <w:ilvl w:val="1"/>
          <w:numId w:val="1"/>
        </w:numPr>
        <w:spacing w:after="0"/>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Events of Default and Termination: Without prejudice to any other right, a Party may terminate this Agreement by written notice if the other Party (a) commits a material breach not remedied within ten (10) days of notice; (b) becomes insolvent, enters liquidation or has a receiver appointed; (c) repudiates this Agreement.</w:t>
      </w:r>
    </w:p>
    <w:p w14:paraId="096AAA96">
      <w:pPr>
        <w:pStyle w:val="7"/>
        <w:numPr>
          <w:ilvl w:val="-1"/>
          <w:numId w:val="0"/>
        </w:numPr>
        <w:spacing w:after="0"/>
        <w:ind w:left="0" w:leftChars="0" w:firstLine="0" w:firstLineChars="0"/>
        <w:jc w:val="both"/>
        <w:rPr>
          <w:rFonts w:ascii="Times New Roman" w:hAnsi="Times New Roman" w:cs="Times New Roman"/>
          <w:b/>
          <w:bCs/>
          <w:color w:val="000000" w:themeColor="text1"/>
          <w:sz w:val="22"/>
          <w:szCs w:val="22"/>
          <w14:textFill>
            <w14:solidFill>
              <w14:schemeClr w14:val="tx1"/>
            </w14:solidFill>
          </w14:textFill>
        </w:rPr>
      </w:pPr>
      <w:r>
        <w:rPr>
          <w:rFonts w:hint="eastAsia" w:ascii="Times New Roman" w:hAnsi="Times New Roman" w:eastAsia="微软雅黑" w:cs="Times New Roman"/>
          <w:b/>
          <w:bCs/>
          <w:color w:val="000000" w:themeColor="text1"/>
          <w:sz w:val="22"/>
          <w:szCs w:val="22"/>
          <w:lang w:val="en-US" w:eastAsia="zh-CN" w:bidi="ar-SA"/>
          <w14:textFill>
            <w14:solidFill>
              <w14:schemeClr w14:val="tx1"/>
            </w14:solidFill>
          </w14:textFill>
        </w:rPr>
        <w:t>18. 其他</w:t>
      </w:r>
    </w:p>
    <w:p w14:paraId="1593AFDE">
      <w:pPr>
        <w:pStyle w:val="7"/>
        <w:numPr>
          <w:ilvl w:val="1"/>
          <w:numId w:val="2"/>
        </w:numPr>
        <w:spacing w:after="0"/>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转让：任何一方均不得在未经另一方事先书面同意的情况下转让其权利或义务。</w:t>
      </w:r>
    </w:p>
    <w:p w14:paraId="57DF9669">
      <w:pPr>
        <w:pStyle w:val="7"/>
        <w:numPr>
          <w:ilvl w:val="1"/>
          <w:numId w:val="2"/>
        </w:numPr>
        <w:spacing w:after="0"/>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修订：任何修订或补充仅在以书面形式作出并经双方签署后方为有效。</w:t>
      </w:r>
    </w:p>
    <w:p w14:paraId="15E3D07D">
      <w:pPr>
        <w:pStyle w:val="7"/>
        <w:numPr>
          <w:ilvl w:val="1"/>
          <w:numId w:val="2"/>
        </w:numPr>
        <w:spacing w:after="0"/>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完整协议：本协议构成关于该主题事项的全部约定，并取代所有先前达成的谅解、要约及往来函件。</w:t>
      </w:r>
    </w:p>
    <w:p w14:paraId="1258C69C">
      <w:pPr>
        <w:pStyle w:val="7"/>
        <w:numPr>
          <w:ilvl w:val="1"/>
          <w:numId w:val="2"/>
        </w:numPr>
        <w:spacing w:after="0"/>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可分割性：若任何条款无效或不可执行，则其余条款仍完全有效。</w:t>
      </w:r>
    </w:p>
    <w:p w14:paraId="42059843">
      <w:pPr>
        <w:pStyle w:val="7"/>
        <w:numPr>
          <w:ilvl w:val="1"/>
          <w:numId w:val="2"/>
        </w:numPr>
        <w:spacing w:after="0"/>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本协议以中英文双语版本签署；两种版本具有同等法律效力，如发生歧义，应以英文版本为准。</w:t>
      </w:r>
    </w:p>
    <w:p w14:paraId="62160A02">
      <w:pPr>
        <w:pStyle w:val="7"/>
        <w:numPr>
          <w:ilvl w:val="1"/>
          <w:numId w:val="2"/>
        </w:numPr>
        <w:spacing w:after="0"/>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副本：本协议可制作多份副本，通过电子方式或扫描件传输的签名均与原件具有同等法律效力和约束力。</w:t>
      </w:r>
    </w:p>
    <w:p w14:paraId="381D90AC">
      <w:pPr>
        <w:pStyle w:val="7"/>
        <w:numPr>
          <w:ilvl w:val="1"/>
          <w:numId w:val="2"/>
        </w:numPr>
        <w:spacing w:after="0"/>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任何权利的行使均不得因失败或延迟而视为放弃；任何单独或部分行使均不影响后续行使权利。放弃条款须以书面形式方为有效。</w:t>
      </w:r>
    </w:p>
    <w:p w14:paraId="282DB293">
      <w:pPr>
        <w:pStyle w:val="7"/>
        <w:numPr>
          <w:ilvl w:val="1"/>
          <w:numId w:val="2"/>
        </w:numPr>
        <w:spacing w:after="0"/>
        <w:ind w:left="900" w:leftChars="0" w:hanging="360" w:firstLineChars="0"/>
        <w:jc w:val="both"/>
        <w:rPr>
          <w:rFonts w:ascii="Times New Roman" w:hAnsi="Times New Roman" w:cs="Times New Roman"/>
          <w:color w:val="000000" w:themeColor="text1"/>
          <w:sz w:val="22"/>
          <w:szCs w:val="22"/>
          <w14:textFill>
            <w14:solidFill>
              <w14:schemeClr w14:val="tx1"/>
            </w14:solidFill>
          </w14:textFill>
        </w:rPr>
      </w:pPr>
      <w:r>
        <w:rPr>
          <w:rFonts w:hint="eastAsia" w:ascii="Times New Roman" w:hAnsi="Times New Roman" w:eastAsia="微软雅黑" w:cs="Times New Roman"/>
          <w:color w:val="000000" w:themeColor="text1"/>
          <w:sz w:val="22"/>
          <w:szCs w:val="22"/>
          <w:lang w:val="en-US" w:eastAsia="zh-CN" w:bidi="ar-SA"/>
          <w14:textFill>
            <w14:solidFill>
              <w14:schemeClr w14:val="tx1"/>
            </w14:solidFill>
          </w14:textFill>
        </w:rPr>
        <w:t>违约与终止事由：在不影响任何其他权利的前提下，若另一方(a)在收到通知后十（10）日内未纠正重大违约；(b)发生资不抵债、进入清算程序或被任命破产管理人；(c)拒绝履行本协议，则一方可通过书面通知终止本协议。</w:t>
      </w:r>
    </w:p>
    <w:p w14:paraId="08AC08E2">
      <w:pPr>
        <w:pStyle w:val="7"/>
        <w:spacing w:after="0"/>
        <w:ind w:left="360"/>
        <w:jc w:val="both"/>
        <w:rPr>
          <w:rFonts w:ascii="Times New Roman" w:hAnsi="Times New Roman" w:cs="Times New Roman"/>
          <w:color w:val="000000" w:themeColor="text1"/>
          <w:sz w:val="22"/>
          <w:szCs w:val="22"/>
          <w14:textFill>
            <w14:solidFill>
              <w14:schemeClr w14:val="tx1"/>
            </w14:solidFill>
          </w14:textFill>
        </w:rPr>
      </w:pPr>
    </w:p>
    <w:p w14:paraId="2BAF5220">
      <w:pPr>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br w:type="page"/>
      </w:r>
    </w:p>
    <w:p w14:paraId="4DC7A19C">
      <w:pPr>
        <w:spacing w:after="0"/>
        <w:rPr>
          <w:rFonts w:ascii="Times New Roman" w:hAnsi="Times New Roman" w:eastAsia="Times New Roman" w:cs="Times New Roman"/>
          <w:color w:val="000000" w:themeColor="text1"/>
          <w:sz w:val="22"/>
          <w:szCs w:val="22"/>
          <w:lang w:val="en-GB"/>
          <w14:textFill>
            <w14:solidFill>
              <w14:schemeClr w14:val="tx1"/>
            </w14:solidFill>
          </w14:textFill>
        </w:rPr>
      </w:pPr>
      <w:r>
        <w:rPr>
          <w:rFonts w:ascii="Times New Roman" w:hAnsi="Times New Roman" w:eastAsia="Times New Roman" w:cs="Times New Roman"/>
          <w:b/>
          <w:bCs/>
          <w:color w:val="000000" w:themeColor="text1"/>
          <w:sz w:val="22"/>
          <w:szCs w:val="22"/>
          <w:lang w:val="en-GB"/>
          <w14:textFill>
            <w14:solidFill>
              <w14:schemeClr w14:val="tx1"/>
            </w14:solidFill>
          </w14:textFill>
        </w:rPr>
        <w:t>IN WITNESS WHEREOF</w:t>
      </w:r>
      <w:r>
        <w:rPr>
          <w:rFonts w:ascii="Times New Roman" w:hAnsi="Times New Roman" w:eastAsia="Times New Roman" w:cs="Times New Roman"/>
          <w:color w:val="000000" w:themeColor="text1"/>
          <w:sz w:val="22"/>
          <w:szCs w:val="22"/>
          <w:lang w:val="en-GB"/>
          <w14:textFill>
            <w14:solidFill>
              <w14:schemeClr w14:val="tx1"/>
            </w14:solidFill>
          </w14:textFill>
        </w:rPr>
        <w:t>, the Parties have caused this Agreement to be executed by their duly authorised representatives as of the date first written above.</w:t>
      </w:r>
    </w:p>
    <w:p w14:paraId="4C433138">
      <w:pPr>
        <w:spacing w:after="0"/>
        <w:rPr>
          <w:rFonts w:hint="eastAsia" w:ascii="Times New Roman" w:hAnsi="Times New Roman" w:eastAsia="宋体" w:cs="Times New Roman"/>
          <w:color w:val="000000" w:themeColor="text1"/>
          <w:sz w:val="22"/>
          <w:szCs w:val="22"/>
          <w:lang w:val="en-GB" w:eastAsia="zh-CN"/>
          <w14:textFill>
            <w14:solidFill>
              <w14:schemeClr w14:val="tx1"/>
            </w14:solidFill>
          </w14:textFill>
        </w:rPr>
      </w:pPr>
      <w:r>
        <w:rPr>
          <w:rFonts w:hint="eastAsia" w:ascii="Times New Roman" w:hAnsi="Times New Roman" w:eastAsia="微软雅黑" w:cs="Times New Roman"/>
          <w:color w:val="000000" w:themeColor="text1"/>
          <w:sz w:val="22"/>
          <w:szCs w:val="22"/>
          <w:lang w:val="en-GB" w:eastAsia="zh-CN" w:bidi="ar-SA"/>
          <w14:textFill>
            <w14:solidFill>
              <w14:schemeClr w14:val="tx1"/>
            </w14:solidFill>
          </w14:textFill>
        </w:rPr>
        <w:t>为此，双方已由其正式授权代表于上述首次签署之日签署本协议。</w:t>
      </w:r>
    </w:p>
    <w:p w14:paraId="3E266BA9">
      <w:pPr>
        <w:spacing w:after="0"/>
        <w:jc w:val="both"/>
        <w:rPr>
          <w:rFonts w:ascii="Times New Roman" w:hAnsi="Times New Roman" w:eastAsia="Times New Roman" w:cs="Times New Roman"/>
          <w:color w:val="000000" w:themeColor="text1"/>
          <w:sz w:val="22"/>
          <w:szCs w:val="22"/>
          <w14:textFill>
            <w14:solidFill>
              <w14:schemeClr w14:val="tx1"/>
            </w14:solidFill>
          </w14:textFill>
        </w:rPr>
      </w:pPr>
    </w:p>
    <w:p w14:paraId="0E1877EE">
      <w:pPr>
        <w:spacing w:after="0"/>
        <w:jc w:val="both"/>
        <w:rPr>
          <w:rFonts w:ascii="Times New Roman" w:hAnsi="Times New Roman" w:eastAsia="Times New Roman" w:cs="Times New Roman"/>
          <w:color w:val="000000" w:themeColor="text1"/>
          <w:sz w:val="22"/>
          <w:szCs w:val="22"/>
          <w14:textFill>
            <w14:solidFill>
              <w14:schemeClr w14:val="tx1"/>
            </w14:solidFill>
          </w14:textFill>
        </w:rPr>
      </w:pPr>
    </w:p>
    <w:p w14:paraId="0CA914C8">
      <w:pPr>
        <w:spacing w:after="0"/>
        <w:jc w:val="both"/>
        <w:rPr>
          <w:rFonts w:ascii="Times New Roman" w:hAnsi="Times New Roman" w:eastAsia="Times New Roman" w:cs="Times New Roman"/>
          <w:color w:val="000000" w:themeColor="text1"/>
          <w:sz w:val="22"/>
          <w:szCs w:val="22"/>
          <w14:textFill>
            <w14:solidFill>
              <w14:schemeClr w14:val="tx1"/>
            </w14:solidFill>
          </w14:textFill>
        </w:rPr>
      </w:pPr>
    </w:p>
    <w:p w14:paraId="2A527D7A">
      <w:pPr>
        <w:spacing w:after="0"/>
        <w:jc w:val="both"/>
        <w:rPr>
          <w:rFonts w:hint="eastAsia" w:ascii="Times New Roman" w:hAnsi="Times New Roman" w:eastAsia="宋体" w:cs="Times New Roman"/>
          <w:color w:val="000000" w:themeColor="text1"/>
          <w:sz w:val="22"/>
          <w:szCs w:val="22"/>
          <w:lang w:val="en-GB" w:eastAsia="zh-CN"/>
          <w14:textFill>
            <w14:solidFill>
              <w14:schemeClr w14:val="tx1"/>
            </w14:solidFill>
          </w14:textFill>
        </w:rPr>
      </w:pPr>
      <w:r>
        <w:rPr>
          <w:rFonts w:hint="eastAsia" w:ascii="Times New Roman" w:hAnsi="Times New Roman" w:eastAsia="微软雅黑" w:cs="Times New Roman"/>
          <w:color w:val="000000" w:themeColor="text1"/>
          <w:sz w:val="22"/>
          <w:szCs w:val="22"/>
          <w:lang w:val="en-GB" w:eastAsia="zh-CN" w:bidi="ar-SA"/>
          <w14:textFill>
            <w14:solidFill>
              <w14:schemeClr w14:val="tx1"/>
            </w14:solidFill>
          </w14:textFill>
        </w:rPr>
        <w:t>________________________</w:t>
      </w:r>
    </w:p>
    <w:p w14:paraId="51023736">
      <w:pPr>
        <w:spacing w:after="0"/>
        <w:jc w:val="both"/>
        <w:rPr>
          <w:rFonts w:ascii="Times New Roman" w:hAnsi="Times New Roman" w:eastAsia="Times New Roman" w:cs="Times New Roman"/>
          <w:color w:val="000000" w:themeColor="text1"/>
          <w:sz w:val="22"/>
          <w:szCs w:val="22"/>
          <w14:textFill>
            <w14:solidFill>
              <w14:schemeClr w14:val="tx1"/>
            </w14:solidFill>
          </w14:textFill>
        </w:rPr>
      </w:pPr>
    </w:p>
    <w:p w14:paraId="03774FED">
      <w:pPr>
        <w:spacing w:after="0"/>
        <w:jc w:val="both"/>
        <w:rPr>
          <w:rFonts w:ascii="Times New Roman" w:hAnsi="Times New Roman" w:eastAsia="Times New Roman" w:cs="Times New Roman"/>
          <w:color w:val="000000" w:themeColor="text1"/>
          <w:sz w:val="22"/>
          <w:szCs w:val="22"/>
          <w14:textFill>
            <w14:solidFill>
              <w14:schemeClr w14:val="tx1"/>
            </w14:solidFill>
          </w14:textFill>
        </w:rPr>
      </w:pPr>
    </w:p>
    <w:p w14:paraId="61B2B325">
      <w:pPr>
        <w:spacing w:after="0"/>
        <w:jc w:val="both"/>
        <w:rPr>
          <w:rFonts w:ascii="Times New Roman" w:hAnsi="Times New Roman" w:eastAsia="Times New Roman" w:cs="Times New Roman"/>
          <w:color w:val="000000" w:themeColor="text1"/>
          <w:sz w:val="22"/>
          <w:szCs w:val="22"/>
          <w14:textFill>
            <w14:solidFill>
              <w14:schemeClr w14:val="tx1"/>
            </w14:solidFill>
          </w14:textFill>
        </w:rPr>
      </w:pPr>
    </w:p>
    <w:p w14:paraId="0297C847">
      <w:pPr>
        <w:spacing w:after="0"/>
        <w:jc w:val="both"/>
        <w:rPr>
          <w:rFonts w:ascii="Times New Roman" w:hAnsi="Times New Roman" w:eastAsia="Times New Roman" w:cs="Times New Roman"/>
          <w:color w:val="000000" w:themeColor="text1"/>
          <w:sz w:val="22"/>
          <w:szCs w:val="22"/>
          <w14:textFill>
            <w14:solidFill>
              <w14:schemeClr w14:val="tx1"/>
            </w14:solidFill>
          </w14:textFill>
        </w:rPr>
      </w:pPr>
    </w:p>
    <w:p w14:paraId="4B48EE6F">
      <w:pPr>
        <w:spacing w:after="0"/>
        <w:jc w:val="both"/>
        <w:rPr>
          <w:rFonts w:ascii="Times New Roman" w:hAnsi="Times New Roman" w:eastAsia="Times New Roman" w:cs="Times New Roman"/>
          <w:color w:val="000000" w:themeColor="text1"/>
          <w:sz w:val="22"/>
          <w:szCs w:val="22"/>
          <w14:textFill>
            <w14:solidFill>
              <w14:schemeClr w14:val="tx1"/>
            </w14:solidFill>
          </w14:textFill>
        </w:rPr>
      </w:pPr>
    </w:p>
    <w:p w14:paraId="0A03588E">
      <w:pPr>
        <w:spacing w:after="0"/>
        <w:jc w:val="both"/>
        <w:rPr>
          <w:rFonts w:ascii="Times New Roman" w:hAnsi="Times New Roman" w:eastAsia="Times New Roman" w:cs="Times New Roman"/>
          <w:b/>
          <w:bCs/>
          <w:color w:val="000000" w:themeColor="text1"/>
          <w:sz w:val="22"/>
          <w:szCs w:val="22"/>
          <w:lang w:val="en-GB"/>
          <w14:textFill>
            <w14:solidFill>
              <w14:schemeClr w14:val="tx1"/>
            </w14:solidFill>
          </w14:textFill>
        </w:rPr>
      </w:pPr>
      <w:r>
        <w:rPr>
          <w:rFonts w:ascii="Times New Roman" w:hAnsi="Times New Roman" w:eastAsia="Times New Roman" w:cs="Times New Roman"/>
          <w:b/>
          <w:bCs/>
          <w:color w:val="000000" w:themeColor="text1"/>
          <w:sz w:val="22"/>
          <w:szCs w:val="22"/>
          <w:lang w:val="en-GB"/>
          <w14:textFill>
            <w14:solidFill>
              <w14:schemeClr w14:val="tx1"/>
            </w14:solidFill>
          </w14:textFill>
        </w:rPr>
        <w:t>V</w:t>
      </w:r>
    </w:p>
    <w:p w14:paraId="3D68E739">
      <w:pPr>
        <w:spacing w:after="0"/>
        <w:jc w:val="both"/>
        <w:rPr>
          <w:rFonts w:ascii="Times New Roman" w:hAnsi="Times New Roman" w:eastAsia="Times New Roman" w:cs="Times New Roman"/>
          <w:b/>
          <w:bCs/>
          <w:color w:val="000000" w:themeColor="text1"/>
          <w:sz w:val="22"/>
          <w:szCs w:val="22"/>
          <w:lang w:val="en-GB"/>
          <w14:textFill>
            <w14:solidFill>
              <w14:schemeClr w14:val="tx1"/>
            </w14:solidFill>
          </w14:textFill>
        </w:rPr>
      </w:pPr>
      <w:r>
        <w:rPr>
          <w:rFonts w:ascii="Times New Roman" w:hAnsi="Times New Roman" w:eastAsia="Times New Roman" w:cs="Times New Roman"/>
          <w:b/>
          <w:bCs/>
          <w:color w:val="000000" w:themeColor="text1"/>
          <w:sz w:val="22"/>
          <w:szCs w:val="22"/>
          <w:lang w:val="en-GB"/>
          <w14:textFill>
            <w14:solidFill>
              <w14:schemeClr w14:val="tx1"/>
            </w14:solidFill>
          </w14:textFill>
        </w:rPr>
        <w:t>N</w:t>
      </w:r>
      <w:bookmarkStart w:id="0" w:name="_GoBack"/>
      <w:bookmarkEnd w:id="0"/>
    </w:p>
    <w:p w14:paraId="7C7B52EA">
      <w:pPr>
        <w:spacing w:after="0"/>
        <w:jc w:val="both"/>
        <w:rPr>
          <w:rFonts w:ascii="Times New Roman" w:hAnsi="Times New Roman" w:eastAsia="Times New Roman" w:cs="Times New Roman"/>
          <w:b/>
          <w:bCs/>
          <w:color w:val="000000" w:themeColor="text1"/>
          <w:sz w:val="22"/>
          <w:szCs w:val="22"/>
          <w:lang w:val="en-GB"/>
          <w14:textFill>
            <w14:solidFill>
              <w14:schemeClr w14:val="tx1"/>
            </w14:solidFill>
          </w14:textFill>
        </w:rPr>
      </w:pPr>
      <w:r>
        <w:rPr>
          <w:rFonts w:ascii="Times New Roman" w:hAnsi="Times New Roman" w:eastAsia="Times New Roman" w:cs="Times New Roman"/>
          <w:b/>
          <w:bCs/>
          <w:color w:val="000000" w:themeColor="text1"/>
          <w:sz w:val="22"/>
          <w:szCs w:val="22"/>
          <w:lang w:val="en-GB"/>
          <w14:textFill>
            <w14:solidFill>
              <w14:schemeClr w14:val="tx1"/>
            </w14:solidFill>
          </w14:textFill>
        </w:rPr>
        <w:t>Authorised Signatory</w:t>
      </w:r>
    </w:p>
    <w:p w14:paraId="65F8C3FD">
      <w:pPr>
        <w:spacing w:after="0"/>
        <w:jc w:val="both"/>
        <w:rPr>
          <w:rFonts w:hint="eastAsia" w:ascii="Times New Roman" w:hAnsi="Times New Roman" w:eastAsia="宋体" w:cs="Times New Roman"/>
          <w:b/>
          <w:bCs/>
          <w:color w:val="000000" w:themeColor="text1"/>
          <w:sz w:val="22"/>
          <w:szCs w:val="22"/>
          <w:lang w:val="en-GB" w:eastAsia="zh-CN"/>
          <w14:textFill>
            <w14:solidFill>
              <w14:schemeClr w14:val="tx1"/>
            </w14:solidFill>
          </w14:textFill>
        </w:rPr>
      </w:pPr>
      <w:r>
        <w:rPr>
          <w:rFonts w:hint="eastAsia" w:ascii="Times New Roman" w:hAnsi="Times New Roman" w:eastAsia="微软雅黑" w:cs="Times New Roman"/>
          <w:b/>
          <w:bCs/>
          <w:color w:val="000000" w:themeColor="text1"/>
          <w:sz w:val="22"/>
          <w:szCs w:val="22"/>
          <w:lang w:val="en-GB" w:eastAsia="zh-CN" w:bidi="ar-SA"/>
          <w14:textFill>
            <w14:solidFill>
              <w14:schemeClr w14:val="tx1"/>
            </w14:solidFill>
          </w14:textFill>
        </w:rPr>
        <w:t>Nurzhan Aspandiyar</w:t>
      </w:r>
    </w:p>
    <w:p w14:paraId="329154D9">
      <w:pPr>
        <w:spacing w:after="0"/>
        <w:jc w:val="both"/>
        <w:rPr>
          <w:rFonts w:hint="eastAsia" w:ascii="Times New Roman" w:hAnsi="Times New Roman" w:eastAsia="宋体" w:cs="Times New Roman"/>
          <w:b/>
          <w:bCs/>
          <w:color w:val="000000" w:themeColor="text1"/>
          <w:sz w:val="22"/>
          <w:szCs w:val="22"/>
          <w:lang w:val="en-GB" w:eastAsia="zh-CN"/>
          <w14:textFill>
            <w14:solidFill>
              <w14:schemeClr w14:val="tx1"/>
            </w14:solidFill>
          </w14:textFill>
        </w:rPr>
      </w:pPr>
      <w:r>
        <w:rPr>
          <w:rFonts w:hint="eastAsia" w:ascii="Times New Roman" w:hAnsi="Times New Roman" w:eastAsia="微软雅黑" w:cs="Times New Roman"/>
          <w:b/>
          <w:bCs/>
          <w:color w:val="000000" w:themeColor="text1"/>
          <w:sz w:val="22"/>
          <w:szCs w:val="22"/>
          <w:lang w:val="en-GB" w:eastAsia="zh-CN" w:bidi="ar-SA"/>
          <w14:textFill>
            <w14:solidFill>
              <w14:schemeClr w14:val="tx1"/>
            </w14:solidFill>
          </w14:textFill>
        </w:rPr>
        <w:t>授权签署方</w:t>
      </w:r>
    </w:p>
    <w:p w14:paraId="59D592F6">
      <w:pPr>
        <w:spacing w:after="0"/>
        <w:jc w:val="both"/>
        <w:rPr>
          <w:rFonts w:ascii="Times New Roman" w:hAnsi="Times New Roman" w:eastAsia="Times New Roman" w:cs="Times New Roman"/>
          <w:color w:val="000000" w:themeColor="text1"/>
          <w:sz w:val="22"/>
          <w:szCs w:val="22"/>
          <w14:textFill>
            <w14:solidFill>
              <w14:schemeClr w14:val="tx1"/>
            </w14:solidFill>
          </w14:textFill>
        </w:rPr>
      </w:pPr>
    </w:p>
    <w:p w14:paraId="62274543">
      <w:pPr>
        <w:spacing w:after="0"/>
        <w:jc w:val="both"/>
        <w:rPr>
          <w:rFonts w:ascii="Times New Roman" w:hAnsi="Times New Roman" w:eastAsia="Times New Roman" w:cs="Times New Roman"/>
          <w:color w:val="000000" w:themeColor="text1"/>
          <w:sz w:val="22"/>
          <w:szCs w:val="22"/>
          <w14:textFill>
            <w14:solidFill>
              <w14:schemeClr w14:val="tx1"/>
            </w14:solidFill>
          </w14:textFill>
        </w:rPr>
      </w:pPr>
    </w:p>
    <w:p w14:paraId="7A226391">
      <w:pPr>
        <w:spacing w:after="0"/>
        <w:jc w:val="both"/>
        <w:rPr>
          <w:rFonts w:ascii="Times New Roman" w:hAnsi="Times New Roman" w:eastAsia="Times New Roman" w:cs="Times New Roman"/>
          <w:color w:val="000000" w:themeColor="text1"/>
          <w:sz w:val="22"/>
          <w:szCs w:val="22"/>
          <w:lang w:val="en-GB"/>
          <w14:textFill>
            <w14:solidFill>
              <w14:schemeClr w14:val="tx1"/>
            </w14:solidFill>
          </w14:textFill>
        </w:rPr>
      </w:pPr>
      <w:r>
        <w:rPr>
          <w:rFonts w:ascii="Times New Roman" w:hAnsi="Times New Roman" w:eastAsia="Times New Roman" w:cs="Times New Roman"/>
          <w:color w:val="000000" w:themeColor="text1"/>
          <w:sz w:val="22"/>
          <w:szCs w:val="22"/>
          <w:lang w:val="en-GB"/>
          <w14:textFill>
            <w14:solidFill>
              <w14:schemeClr w14:val="tx1"/>
            </w14:solidFill>
          </w14:textFill>
        </w:rPr>
        <w:t>________________________</w:t>
      </w:r>
    </w:p>
    <w:p w14:paraId="0E1116F8">
      <w:pPr>
        <w:spacing w:after="0"/>
        <w:jc w:val="both"/>
        <w:rPr>
          <w:rFonts w:ascii="Times New Roman" w:hAnsi="Times New Roman" w:eastAsia="Times New Roman" w:cs="Times New Roman"/>
          <w:color w:val="000000" w:themeColor="text1"/>
          <w:sz w:val="22"/>
          <w:szCs w:val="22"/>
          <w14:textFill>
            <w14:solidFill>
              <w14:schemeClr w14:val="tx1"/>
            </w14:solidFill>
          </w14:textFill>
        </w:rPr>
      </w:pPr>
    </w:p>
    <w:p w14:paraId="56EC4062">
      <w:pPr>
        <w:spacing w:after="0"/>
        <w:jc w:val="both"/>
        <w:rPr>
          <w:rFonts w:ascii="Times New Roman" w:hAnsi="Times New Roman" w:eastAsia="Times New Roman" w:cs="Times New Roman"/>
          <w:color w:val="000000" w:themeColor="text1"/>
          <w:sz w:val="22"/>
          <w:szCs w:val="22"/>
          <w14:textFill>
            <w14:solidFill>
              <w14:schemeClr w14:val="tx1"/>
            </w14:solidFill>
          </w14:textFill>
        </w:rPr>
      </w:pPr>
    </w:p>
    <w:p w14:paraId="1A58A605">
      <w:pPr>
        <w:spacing w:after="0"/>
        <w:jc w:val="both"/>
        <w:rPr>
          <w:rFonts w:ascii="Times New Roman" w:hAnsi="Times New Roman" w:eastAsia="Times New Roman" w:cs="Times New Roman"/>
          <w:color w:val="000000" w:themeColor="text1"/>
          <w:sz w:val="22"/>
          <w:szCs w:val="22"/>
          <w14:textFill>
            <w14:solidFill>
              <w14:schemeClr w14:val="tx1"/>
            </w14:solidFill>
          </w14:textFill>
        </w:rPr>
      </w:pPr>
    </w:p>
    <w:p w14:paraId="592D7B23">
      <w:pPr>
        <w:spacing w:after="0"/>
        <w:jc w:val="both"/>
        <w:rPr>
          <w:rFonts w:ascii="Times New Roman" w:hAnsi="Times New Roman" w:eastAsia="Times New Roman" w:cs="Times New Roman"/>
          <w:b/>
          <w:bCs/>
          <w:color w:val="000000" w:themeColor="text1"/>
          <w:sz w:val="22"/>
          <w:szCs w:val="22"/>
          <w:highlight w:val="yellow"/>
          <w:vertAlign w:val="baseline"/>
          <w:lang w:val="en-GB"/>
          <w14:textFill>
            <w14:solidFill>
              <w14:schemeClr w14:val="tx1"/>
            </w14:solidFill>
          </w14:textFill>
        </w:rPr>
      </w:pPr>
      <w:r>
        <w:rPr>
          <w:rFonts w:ascii="Times New Roman" w:hAnsi="Times New Roman" w:eastAsia="Times New Roman" w:cs="Times New Roman"/>
          <w:b/>
          <w:bCs/>
          <w:color w:val="000000" w:themeColor="text1"/>
          <w:sz w:val="22"/>
          <w:szCs w:val="22"/>
          <w:highlight w:val="yellow"/>
          <w:lang w:val="en-GB"/>
          <w14:textFill>
            <w14:solidFill>
              <w14:schemeClr w14:val="tx1"/>
            </w14:solidFill>
          </w14:textFill>
        </w:rPr>
        <w:t>[Buyer Company Name]</w:t>
      </w:r>
    </w:p>
    <w:p w14:paraId="40D9C934">
      <w:pPr>
        <w:spacing w:after="0"/>
        <w:jc w:val="both"/>
        <w:rPr>
          <w:rFonts w:ascii="Times New Roman" w:hAnsi="Times New Roman" w:eastAsia="Times New Roman" w:cs="Times New Roman"/>
          <w:b/>
          <w:bCs/>
          <w:color w:val="000000" w:themeColor="text1"/>
          <w:sz w:val="22"/>
          <w:szCs w:val="22"/>
          <w:highlight w:val="yellow"/>
          <w:lang w:val="en-GB"/>
          <w14:textFill>
            <w14:solidFill>
              <w14:schemeClr w14:val="tx1"/>
            </w14:solidFill>
          </w14:textFill>
        </w:rPr>
      </w:pPr>
      <w:r>
        <w:rPr>
          <w:rFonts w:ascii="Times New Roman" w:hAnsi="Times New Roman" w:eastAsia="Times New Roman" w:cs="Times New Roman"/>
          <w:b/>
          <w:bCs/>
          <w:color w:val="000000" w:themeColor="text1"/>
          <w:sz w:val="22"/>
          <w:szCs w:val="22"/>
          <w:highlight w:val="yellow"/>
          <w:lang w:val="en-GB"/>
          <w14:textFill>
            <w14:solidFill>
              <w14:schemeClr w14:val="tx1"/>
            </w14:solidFill>
          </w14:textFill>
        </w:rPr>
        <w:t>[Name]</w:t>
      </w:r>
    </w:p>
    <w:p w14:paraId="7E08A169">
      <w:pPr>
        <w:spacing w:after="0"/>
        <w:jc w:val="both"/>
        <w:rPr>
          <w:rFonts w:ascii="Times New Roman" w:hAnsi="Times New Roman" w:eastAsia="Times New Roman" w:cs="Times New Roman"/>
          <w:b/>
          <w:bCs/>
          <w:color w:val="000000" w:themeColor="text1"/>
          <w:sz w:val="22"/>
          <w:szCs w:val="22"/>
          <w:lang w:val="en-GB"/>
          <w14:textFill>
            <w14:solidFill>
              <w14:schemeClr w14:val="tx1"/>
            </w14:solidFill>
          </w14:textFill>
        </w:rPr>
      </w:pPr>
      <w:r>
        <w:rPr>
          <w:rFonts w:ascii="Times New Roman" w:hAnsi="Times New Roman" w:eastAsia="Times New Roman" w:cs="Times New Roman"/>
          <w:b/>
          <w:bCs/>
          <w:color w:val="000000" w:themeColor="text1"/>
          <w:sz w:val="22"/>
          <w:szCs w:val="22"/>
          <w:highlight w:val="yellow"/>
          <w:lang w:val="en-GB"/>
          <w14:textFill>
            <w14:solidFill>
              <w14:schemeClr w14:val="tx1"/>
            </w14:solidFill>
          </w14:textFill>
        </w:rPr>
        <w:t>[Title]</w:t>
      </w:r>
    </w:p>
    <w:p w14:paraId="62F2C8D7">
      <w:pPr>
        <w:spacing w:after="0"/>
        <w:jc w:val="both"/>
        <w:rPr>
          <w:rFonts w:ascii="Times New Roman" w:hAnsi="Times New Roman" w:eastAsia="Times New Roman" w:cs="Times New Roman"/>
          <w:color w:val="000000" w:themeColor="text1"/>
          <w:sz w:val="22"/>
          <w:szCs w:val="22"/>
          <w14:textFill>
            <w14:solidFill>
              <w14:schemeClr w14:val="tx1"/>
            </w14:solidFill>
          </w14:textFill>
        </w:rPr>
      </w:pPr>
    </w:p>
    <w:p w14:paraId="2E0F5797">
      <w:pPr>
        <w:spacing w:after="0"/>
        <w:jc w:val="both"/>
        <w:rPr>
          <w:rFonts w:hint="eastAsia" w:ascii="Times New Roman" w:hAnsi="Times New Roman" w:eastAsia="宋体" w:cs="Times New Roman"/>
          <w:b/>
          <w:bCs/>
          <w:color w:val="000000" w:themeColor="text1"/>
          <w:sz w:val="22"/>
          <w:szCs w:val="22"/>
          <w:highlight w:val="yellow"/>
          <w:lang w:val="en-GB" w:eastAsia="zh-CN"/>
          <w14:textFill>
            <w14:solidFill>
              <w14:schemeClr w14:val="tx1"/>
            </w14:solidFill>
          </w14:textFill>
        </w:rPr>
      </w:pPr>
      <w:r>
        <w:rPr>
          <w:rFonts w:hint="eastAsia" w:ascii="Times New Roman" w:hAnsi="Times New Roman" w:eastAsia="微软雅黑" w:cs="Times New Roman"/>
          <w:b/>
          <w:bCs/>
          <w:color w:val="000000" w:themeColor="text1"/>
          <w:sz w:val="22"/>
          <w:szCs w:val="22"/>
          <w:highlight w:val="yellow"/>
          <w:lang w:val="en-GB" w:eastAsia="zh-CN" w:bidi="ar-SA"/>
          <w14:textFill>
            <w14:solidFill>
              <w14:schemeClr w14:val="tx1"/>
            </w14:solidFill>
          </w14:textFill>
        </w:rPr>
        <w:t>[买方公司名称]</w:t>
      </w:r>
    </w:p>
    <w:p w14:paraId="773CAE59">
      <w:pPr>
        <w:spacing w:after="0"/>
        <w:jc w:val="both"/>
        <w:rPr>
          <w:rFonts w:hint="eastAsia" w:ascii="Times New Roman" w:hAnsi="Times New Roman" w:eastAsia="宋体" w:cs="Times New Roman"/>
          <w:b/>
          <w:bCs/>
          <w:color w:val="000000" w:themeColor="text1"/>
          <w:sz w:val="22"/>
          <w:szCs w:val="22"/>
          <w:highlight w:val="yellow"/>
          <w:lang w:val="en-GB" w:eastAsia="zh-CN"/>
          <w14:textFill>
            <w14:solidFill>
              <w14:schemeClr w14:val="tx1"/>
            </w14:solidFill>
          </w14:textFill>
        </w:rPr>
      </w:pPr>
      <w:r>
        <w:rPr>
          <w:rFonts w:hint="eastAsia" w:ascii="Times New Roman" w:hAnsi="Times New Roman" w:eastAsia="微软雅黑" w:cs="Times New Roman"/>
          <w:b/>
          <w:bCs/>
          <w:color w:val="000000" w:themeColor="text1"/>
          <w:sz w:val="22"/>
          <w:szCs w:val="22"/>
          <w:highlight w:val="yellow"/>
          <w:lang w:val="en-GB" w:eastAsia="zh-CN" w:bidi="ar-SA"/>
          <w14:textFill>
            <w14:solidFill>
              <w14:schemeClr w14:val="tx1"/>
            </w14:solidFill>
          </w14:textFill>
        </w:rPr>
        <w:t>[姓名]</w:t>
      </w:r>
    </w:p>
    <w:p w14:paraId="23ABF008">
      <w:pPr>
        <w:spacing w:after="0"/>
        <w:jc w:val="both"/>
        <w:rPr>
          <w:rFonts w:hint="eastAsia" w:ascii="Times New Roman" w:hAnsi="Times New Roman" w:eastAsia="宋体" w:cs="Times New Roman"/>
          <w:b/>
          <w:bCs/>
          <w:color w:val="000000" w:themeColor="text1"/>
          <w:sz w:val="22"/>
          <w:szCs w:val="22"/>
          <w:lang w:val="en-GB" w:eastAsia="zh-CN"/>
          <w14:textFill>
            <w14:solidFill>
              <w14:schemeClr w14:val="tx1"/>
            </w14:solidFill>
          </w14:textFill>
        </w:rPr>
      </w:pPr>
      <w:r>
        <w:rPr>
          <w:rFonts w:hint="eastAsia" w:ascii="Times New Roman" w:hAnsi="Times New Roman" w:eastAsia="微软雅黑" w:cs="Times New Roman"/>
          <w:b/>
          <w:bCs/>
          <w:color w:val="000000" w:themeColor="text1"/>
          <w:sz w:val="22"/>
          <w:szCs w:val="22"/>
          <w:highlight w:val="yellow"/>
          <w:lang w:val="en-GB" w:eastAsia="zh-CN" w:bidi="ar-SA"/>
          <w14:textFill>
            <w14:solidFill>
              <w14:schemeClr w14:val="tx1"/>
            </w14:solidFill>
          </w14:textFill>
        </w:rPr>
        <w:t>[标题]</w:t>
      </w:r>
    </w:p>
    <w:p w14:paraId="371AE750">
      <w:pPr>
        <w:spacing w:after="0"/>
        <w:jc w:val="both"/>
        <w:rPr>
          <w:rFonts w:ascii="Times New Roman" w:hAnsi="Times New Roman" w:eastAsia="Times New Roman" w:cs="Times New Roman"/>
          <w:color w:val="000000" w:themeColor="text1"/>
          <w:sz w:val="22"/>
          <w:szCs w:val="22"/>
          <w14:textFill>
            <w14:solidFill>
              <w14:schemeClr w14:val="tx1"/>
            </w14:solidFill>
          </w14:textFill>
        </w:rPr>
      </w:pPr>
    </w:p>
    <w:p w14:paraId="77E4218B">
      <w:pPr>
        <w:spacing w:after="0"/>
        <w:jc w:val="both"/>
        <w:rPr>
          <w:rFonts w:ascii="Times New Roman" w:hAnsi="Times New Roman" w:eastAsia="Times New Roman" w:cs="Times New Roman"/>
          <w:color w:val="000000" w:themeColor="text1"/>
          <w:sz w:val="22"/>
          <w:szCs w:val="22"/>
          <w14:textFill>
            <w14:solidFill>
              <w14:schemeClr w14:val="tx1"/>
            </w14:solidFill>
          </w14:textFill>
        </w:rPr>
      </w:pPr>
    </w:p>
    <w:p w14:paraId="2C078E63">
      <w:pPr>
        <w:spacing w:after="0"/>
        <w:jc w:val="both"/>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lang w:val="en-GB"/>
          <w14:textFill>
            <w14:solidFill>
              <w14:schemeClr w14:val="tx1"/>
            </w14:solidFill>
          </w14:textFill>
        </w:rPr>
        <w:t>________________________</w:t>
      </w:r>
    </w:p>
    <w:p w14:paraId="3C82AF12">
      <w:r>
        <w:br w:type="page"/>
      </w:r>
    </w:p>
    <w:p w14:paraId="32850CA6">
      <w:pPr>
        <w:rPr>
          <w:vertAlign w:val="subscript"/>
        </w:rPr>
      </w:pPr>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郑照宁 Zheng Zhaoning" w:date="2026-07-16T17:30:37Z" w:initials="">
    <w:p w14:paraId="02B4DF61">
      <w:pPr>
        <w:pStyle w:val="2"/>
        <w:rPr>
          <w:rFonts w:hint="default" w:eastAsia="微软雅黑"/>
          <w:lang w:val="en-US" w:eastAsia="zh-CN"/>
        </w:rPr>
      </w:pPr>
      <w:r>
        <w:rPr>
          <w:rFonts w:ascii="Calibri" w:hAnsi="Calibri" w:eastAsia="微软雅黑"/>
          <w:sz w:val="21"/>
        </w:rPr>
        <w:t>原条款赋予卖方单方决定±5%浮动的权利，买方无法控制实际交付数量，可能导致资金压力或货源短缺。修改后双方协商确定，权利义务对等。</w:t>
      </w:r>
      <w:r>
        <w:rPr>
          <w:rFonts w:hint="eastAsia" w:ascii="Calibri" w:hAnsi="Calibri" w:eastAsia="微软雅黑"/>
          <w:sz w:val="21"/>
          <w:lang w:val="en-US" w:eastAsia="zh-CN"/>
        </w:rPr>
        <w:t>量多发没关系， 但买方需要提前准备资金</w:t>
      </w:r>
    </w:p>
  </w:comment>
  <w:comment w:id="1" w:author="郑照宁 Zheng Zhaoning" w:date="2026-07-16T20:35:19Z" w:initials="">
    <w:p w14:paraId="5C831D70">
      <w:pPr>
        <w:spacing w:after="120" w:line="240" w:lineRule="auto"/>
      </w:pPr>
      <w:r>
        <w:rPr>
          <w:rFonts w:ascii="Calibri" w:hAnsi="Calibri" w:eastAsia="微软雅黑"/>
          <w:sz w:val="21"/>
        </w:rPr>
        <w:t>租船合同提单并非标准物权凭证，在目的港提货可能遇到障碍。增加保函要求为买方提供额外保障，同时保留要求海运提单的权利。</w:t>
      </w:r>
    </w:p>
  </w:comment>
  <w:comment w:id="2" w:author="郑照宁 Zheng Zhaoning" w:date="2026-07-16T20:42:13Z" w:initials="">
    <w:p w14:paraId="6E7F07C2">
      <w:pPr>
        <w:spacing w:after="120" w:line="240" w:lineRule="auto"/>
      </w:pPr>
      <w:r>
        <w:rPr>
          <w:rFonts w:ascii="Calibri" w:hAnsi="Calibri" w:eastAsia="微软雅黑"/>
          <w:sz w:val="21"/>
        </w:rPr>
        <w:t>大宗散货硫磺的质量复验（包括取样、送检、实验室分析）通常需要超过3天时间。3天的期限在实际操作中几乎不可行，容易导致买方丧失索赔权。延长至10个工作日更符合行业惯例和实际操作需求。</w:t>
      </w:r>
    </w:p>
  </w:comment>
  <w:comment w:id="3" w:author="郑照宁 Zheng Zhaoning" w:date="2026-07-16T20:50:02Z" w:initials="">
    <w:p w14:paraId="1FD01A11">
      <w:pPr>
        <w:pStyle w:val="2"/>
      </w:pPr>
      <w:r>
        <w:rPr>
          <w:rFonts w:ascii="Calibri" w:hAnsi="Calibri" w:eastAsia="微软雅黑"/>
          <w:sz w:val="21"/>
        </w:rPr>
        <w:t>原条款仅以装货港留样作为仲裁依据，对买方</w:t>
      </w:r>
      <w:r>
        <w:rPr>
          <w:rFonts w:hint="eastAsia" w:ascii="Calibri" w:hAnsi="Calibri" w:eastAsia="微软雅黑"/>
          <w:sz w:val="21"/>
          <w:lang w:val="en-US" w:eastAsia="zh-CN"/>
        </w:rPr>
        <w:t>相当</w:t>
      </w:r>
      <w:r>
        <w:rPr>
          <w:rFonts w:ascii="Calibri" w:hAnsi="Calibri" w:eastAsia="微软雅黑"/>
          <w:sz w:val="21"/>
        </w:rPr>
        <w:t>不利。增加目的港留样作为仲裁参考样品，并在卸货时由买方参与取样，确保仲裁过程的公平性。</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2B4DF61" w15:done="0"/>
  <w15:commentEx w15:paraId="5C831D70" w15:done="0"/>
  <w15:commentEx w15:paraId="6E7F07C2" w15:done="0"/>
  <w15:commentEx w15:paraId="1FD01A1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9" w:lineRule="auto"/>
      </w:pPr>
      <w:r>
        <w:separator/>
      </w:r>
    </w:p>
  </w:footnote>
  <w:footnote w:type="continuationSeparator" w:id="1">
    <w:p>
      <w:pPr>
        <w:spacing w:before="0" w:after="0" w:line="27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76BFDC"/>
    <w:multiLevelType w:val="multilevel"/>
    <w:tmpl w:val="2576BFDC"/>
    <w:lvl w:ilvl="0" w:tentative="0">
      <w:start w:val="1"/>
      <w:numFmt w:val="decimal"/>
      <w:lvlText w:val="%1."/>
      <w:lvlJc w:val="left"/>
      <w:pPr>
        <w:ind w:left="360" w:hanging="360"/>
      </w:pPr>
      <w:rPr>
        <w:b/>
        <w:bCs/>
      </w:rPr>
    </w:lvl>
    <w:lvl w:ilvl="1" w:tentative="0">
      <w:start w:val="1"/>
      <w:numFmt w:val="decimal"/>
      <w:lvlText w:val="%1.%2."/>
      <w:lvlJc w:val="left"/>
      <w:pPr>
        <w:ind w:left="900" w:hanging="360"/>
      </w:pPr>
    </w:lvl>
    <w:lvl w:ilvl="2" w:tentative="0">
      <w:start w:val="1"/>
      <w:numFmt w:val="lowerLetter"/>
      <w:lvlText w:val="%3."/>
      <w:lvlJc w:val="left"/>
      <w:pPr>
        <w:ind w:left="1260" w:hanging="180"/>
      </w:pPr>
    </w:lvl>
    <w:lvl w:ilvl="3" w:tentative="0">
      <w:start w:val="1"/>
      <w:numFmt w:val="decimal"/>
      <w:lvlText w:val="%1.%2.%3.%4."/>
      <w:lvlJc w:val="left"/>
      <w:pPr>
        <w:ind w:left="2520" w:hanging="360"/>
      </w:pPr>
    </w:lvl>
    <w:lvl w:ilvl="4" w:tentative="0">
      <w:start w:val="1"/>
      <w:numFmt w:val="decimal"/>
      <w:lvlText w:val="%1.%2.%3.%4.%5."/>
      <w:lvlJc w:val="left"/>
      <w:pPr>
        <w:ind w:left="3240" w:hanging="360"/>
      </w:pPr>
    </w:lvl>
    <w:lvl w:ilvl="5" w:tentative="0">
      <w:start w:val="1"/>
      <w:numFmt w:val="decimal"/>
      <w:lvlText w:val="%1.%2.%3.%4.%5.%6."/>
      <w:lvlJc w:val="left"/>
      <w:pPr>
        <w:ind w:left="3960" w:hanging="180"/>
      </w:pPr>
    </w:lvl>
    <w:lvl w:ilvl="6" w:tentative="0">
      <w:start w:val="1"/>
      <w:numFmt w:val="decimal"/>
      <w:lvlText w:val="%1.%2.%3.%4.%5.%6.%7."/>
      <w:lvlJc w:val="left"/>
      <w:pPr>
        <w:ind w:left="4680" w:hanging="360"/>
      </w:pPr>
    </w:lvl>
    <w:lvl w:ilvl="7" w:tentative="0">
      <w:start w:val="1"/>
      <w:numFmt w:val="decimal"/>
      <w:lvlText w:val="%1.%2.%3.%4.%5.%6.%7.%8."/>
      <w:lvlJc w:val="left"/>
      <w:pPr>
        <w:ind w:left="5400" w:hanging="360"/>
      </w:pPr>
    </w:lvl>
    <w:lvl w:ilvl="8" w:tentative="0">
      <w:start w:val="1"/>
      <w:numFmt w:val="decimal"/>
      <w:lvlText w:val="%1.%2.%3.%4.%5.%6.%7.%8.%9."/>
      <w:lvlJc w:val="left"/>
      <w:pPr>
        <w:ind w:left="6120" w:hanging="180"/>
      </w:pPr>
    </w:lvl>
  </w:abstractNum>
  <w:abstractNum w:abstractNumId="1">
    <w:nsid w:val="5DC75E7A"/>
    <w:multiLevelType w:val="multilevel"/>
    <w:tmpl w:val="5DC75E7A"/>
    <w:lvl w:ilvl="0" w:tentative="0">
      <w:start w:val="1"/>
      <w:numFmt w:val="decimal"/>
      <w:lvlText w:val="%1."/>
      <w:lvlJc w:val="left"/>
      <w:pPr>
        <w:ind w:left="360" w:hanging="360"/>
      </w:pPr>
      <w:rPr>
        <w:b/>
        <w:bCs/>
      </w:rPr>
    </w:lvl>
    <w:lvl w:ilvl="1" w:tentative="0">
      <w:start w:val="1"/>
      <w:numFmt w:val="decimal"/>
      <w:lvlText w:val="%1.%2."/>
      <w:lvlJc w:val="left"/>
      <w:pPr>
        <w:ind w:left="900" w:hanging="360"/>
      </w:pPr>
    </w:lvl>
    <w:lvl w:ilvl="2" w:tentative="0">
      <w:start w:val="1"/>
      <w:numFmt w:val="lowerLetter"/>
      <w:lvlText w:val="%3."/>
      <w:lvlJc w:val="left"/>
      <w:pPr>
        <w:ind w:left="1260" w:hanging="180"/>
      </w:pPr>
    </w:lvl>
    <w:lvl w:ilvl="3" w:tentative="0">
      <w:start w:val="1"/>
      <w:numFmt w:val="decimal"/>
      <w:lvlText w:val="%1.%2.%3.%4."/>
      <w:lvlJc w:val="left"/>
      <w:pPr>
        <w:ind w:left="2520" w:hanging="360"/>
      </w:pPr>
    </w:lvl>
    <w:lvl w:ilvl="4" w:tentative="0">
      <w:start w:val="1"/>
      <w:numFmt w:val="decimal"/>
      <w:lvlText w:val="%1.%2.%3.%4.%5."/>
      <w:lvlJc w:val="left"/>
      <w:pPr>
        <w:ind w:left="3240" w:hanging="360"/>
      </w:pPr>
    </w:lvl>
    <w:lvl w:ilvl="5" w:tentative="0">
      <w:start w:val="1"/>
      <w:numFmt w:val="decimal"/>
      <w:lvlText w:val="%1.%2.%3.%4.%5.%6."/>
      <w:lvlJc w:val="left"/>
      <w:pPr>
        <w:ind w:left="3960" w:hanging="180"/>
      </w:pPr>
    </w:lvl>
    <w:lvl w:ilvl="6" w:tentative="0">
      <w:start w:val="1"/>
      <w:numFmt w:val="decimal"/>
      <w:lvlText w:val="%1.%2.%3.%4.%5.%6.%7."/>
      <w:lvlJc w:val="left"/>
      <w:pPr>
        <w:ind w:left="4680" w:hanging="360"/>
      </w:pPr>
    </w:lvl>
    <w:lvl w:ilvl="7" w:tentative="0">
      <w:start w:val="1"/>
      <w:numFmt w:val="decimal"/>
      <w:lvlText w:val="%1.%2.%3.%4.%5.%6.%7.%8."/>
      <w:lvlJc w:val="left"/>
      <w:pPr>
        <w:ind w:left="5400" w:hanging="360"/>
      </w:pPr>
    </w:lvl>
    <w:lvl w:ilvl="8" w:tentative="0">
      <w:start w:val="1"/>
      <w:numFmt w:val="decimal"/>
      <w:lvlText w:val="%1.%2.%3.%4.%5.%6.%7.%8.%9."/>
      <w:lvlJc w:val="left"/>
      <w:pPr>
        <w:ind w:left="612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郑照宁 Zheng Zhaoning">
    <w15:presenceInfo w15:providerId="WPS Office" w15:userId="31676525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950401"/>
    <w:rsid w:val="1A240C73"/>
    <w:rsid w:val="21950401"/>
    <w:rsid w:val="2934342C"/>
    <w:rsid w:val="4A100086"/>
    <w:rsid w:val="5FC4181A"/>
    <w:rsid w:val="63091321"/>
    <w:rsid w:val="64D96C80"/>
    <w:rsid w:val="70D719A1"/>
    <w:rsid w:val="78ED6750"/>
    <w:rsid w:val="7F926A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9" w:lineRule="auto"/>
    </w:pPr>
    <w:rPr>
      <w:rFonts w:asciiTheme="minorHAnsi" w:hAnsiTheme="minorHAnsi" w:eastAsiaTheme="minorEastAsia" w:cstheme="minorBidi"/>
      <w:sz w:val="24"/>
      <w:szCs w:val="24"/>
      <w:lang w:val="en-US" w:eastAsia="ja-JP"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unhideWhenUsed/>
    <w:qFormat/>
    <w:uiPriority w:val="99"/>
    <w:pPr>
      <w:tabs>
        <w:tab w:val="center" w:pos="4680"/>
        <w:tab w:val="right" w:pos="9360"/>
      </w:tabs>
      <w:spacing w:after="0" w:line="240" w:lineRule="auto"/>
    </w:pPr>
  </w:style>
  <w:style w:type="paragraph" w:styleId="4">
    <w:name w:val="header"/>
    <w:basedOn w:val="1"/>
    <w:unhideWhenUsed/>
    <w:uiPriority w:val="99"/>
    <w:pPr>
      <w:tabs>
        <w:tab w:val="center" w:pos="4680"/>
        <w:tab w:val="right" w:pos="9360"/>
      </w:tabs>
      <w:spacing w:after="0" w:line="240" w:lineRule="auto"/>
    </w:pPr>
  </w:style>
  <w:style w:type="paragraph" w:styleId="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6707</Words>
  <Characters>17221</Characters>
  <Lines>0</Lines>
  <Paragraphs>0</Paragraphs>
  <TotalTime>4</TotalTime>
  <ScaleCrop>false</ScaleCrop>
  <LinksUpToDate>false</LinksUpToDate>
  <CharactersWithSpaces>19447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2026-07-16T10:00:00Z</dcterms:created>
  <dc:creator>郑照宁 Zheng Zhaoning</dc:creator>
  <cp:lastModifiedBy>郑照宁 Zheng Zhaoning</cp:lastModifiedBy>
  <dcterms:modified xsi:type="dcterms:W3CDTF">2026-07-24T15:37:26Z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18C45B99E80445419F484A6D6516BA80_13</vt:lpwstr>
  </property>
  <property fmtid="{D5CDD505-2E9C-101B-9397-08002B2CF9AE}" pid="4" name="KSOTemplateDocerSaveRecord">
    <vt:lpwstr>eyJoZGlkIjoiMzEwNTM5NzYwMDRjMzkwZTVkZjY2ODkwMGIxNGU0OTUiLCJ1c2VySWQiOiIzNzE1MDI2NjgifQ==</vt:lpwstr>
  </property>
</Properties>
</file>